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8C90E" w14:textId="77777777" w:rsidR="00686379" w:rsidRPr="005C143D" w:rsidRDefault="00686379" w:rsidP="00B7793C">
      <w:pPr>
        <w:keepNext/>
        <w:keepLines/>
        <w:tabs>
          <w:tab w:val="left" w:pos="2670"/>
        </w:tabs>
        <w:spacing w:before="480" w:line="276" w:lineRule="auto"/>
        <w:outlineLvl w:val="0"/>
        <w:rPr>
          <w:rFonts w:ascii="Calibri" w:hAnsi="Calibri" w:cs="Calibri"/>
          <w:b/>
          <w:bCs/>
          <w:color w:val="365F91"/>
          <w:sz w:val="28"/>
          <w:szCs w:val="28"/>
          <w:lang w:eastAsia="it-IT"/>
        </w:rPr>
      </w:pPr>
      <w:r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C391B" wp14:editId="40B7879E">
                <wp:simplePos x="0" y="0"/>
                <wp:positionH relativeFrom="column">
                  <wp:posOffset>8327390</wp:posOffset>
                </wp:positionH>
                <wp:positionV relativeFrom="paragraph">
                  <wp:posOffset>-499110</wp:posOffset>
                </wp:positionV>
                <wp:extent cx="767715" cy="262255"/>
                <wp:effectExtent l="0" t="0" r="0" b="444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ACBD8" w14:textId="453603D0" w:rsidR="00686379" w:rsidRPr="005C143D" w:rsidRDefault="00686379" w:rsidP="00686379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</w:pPr>
                            <w:r w:rsidRPr="005C14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ALL.</w:t>
                            </w:r>
                            <w:r w:rsidR="00ED776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1</w:t>
                            </w:r>
                            <w:r w:rsidR="00D1115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5.</w:t>
                            </w:r>
                            <w:r w:rsidR="00ED776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CC391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655.7pt;margin-top:-39.3pt;width:60.45pt;height:20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rRae/OEAAAANAQAADwAAAGRycy9kb3ducmV2&#10;LnhtbEyPy07DMBBF90j8gzVI7FondWmrNE5VUbFhgURBoks3duIIv2S7afh7pitY3pmjO2fq3WQN&#10;GVVMg3ccynkBRLnWy8H1HD4/XmYbICkLJ4XxTnH4UQl2zf1dLSrpr+5djcfcEyxxqRIcdM6hojS1&#10;WlmR5j4oh7vORysyxthTGcUVy62hi6JYUSsGhxe0COpZq/b7eLEcvqwe5CG+nTppxsNrt38KUwyc&#10;Pz5M+y2QrKb8B8NNH9WhQaezvziZiMHMynKJLIfZerMCckOWbMGAnHHE1gxoU9P/XzS/AAAA//8D&#10;AFBLAQItABQABgAIAAAAIQC2gziS/gAAAOEBAAATAAAAAAAAAAAAAAAAAAAAAABbQ29udGVudF9U&#10;eXBlc10ueG1sUEsBAi0AFAAGAAgAAAAhADj9If/WAAAAlAEAAAsAAAAAAAAAAAAAAAAALwEAAF9y&#10;ZWxzLy5yZWxzUEsBAi0AFAAGAAgAAAAhACL63HDxAQAAyQMAAA4AAAAAAAAAAAAAAAAALgIAAGRy&#10;cy9lMm9Eb2MueG1sUEsBAi0AFAAGAAgAAAAhAK0WnvzhAAAADQEAAA8AAAAAAAAAAAAAAAAASwQA&#10;AGRycy9kb3ducmV2LnhtbFBLBQYAAAAABAAEAPMAAABZBQAAAAA=&#10;" stroked="f">
                <v:textbox style="mso-fit-shape-to-text:t">
                  <w:txbxContent>
                    <w:p w14:paraId="78EACBD8" w14:textId="453603D0" w:rsidR="00686379" w:rsidRPr="005C143D" w:rsidRDefault="00686379" w:rsidP="00686379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</w:pPr>
                      <w:r w:rsidRPr="005C143D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ALL.</w:t>
                      </w:r>
                      <w:r w:rsidR="00ED776D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1</w:t>
                      </w:r>
                      <w:r w:rsidR="00D11150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5.</w:t>
                      </w:r>
                      <w:r w:rsidR="00ED776D">
                        <w:rPr>
                          <w:rFonts w:asciiTheme="minorHAnsi" w:hAnsiTheme="minorHAnsi" w:cstheme="minorHAnsi"/>
                          <w:b/>
                          <w:sz w:val="22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C143D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5BDA84D3" wp14:editId="692676FB">
            <wp:simplePos x="0" y="0"/>
            <wp:positionH relativeFrom="column">
              <wp:posOffset>83820</wp:posOffset>
            </wp:positionH>
            <wp:positionV relativeFrom="paragraph">
              <wp:posOffset>-234950</wp:posOffset>
            </wp:positionV>
            <wp:extent cx="860425" cy="560705"/>
            <wp:effectExtent l="0" t="0" r="0" b="0"/>
            <wp:wrapNone/>
            <wp:docPr id="7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2">
                      <a:extLst>
                        <a:ext uri="{FF2B5EF4-FFF2-40B4-BE49-F238E27FC236}">
                          <a16:creationId xmlns:a16="http://schemas.microsoft.com/office/drawing/2014/main" id="{00000000-0008-0000-0100-000006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C143D">
        <w:rPr>
          <w:rFonts w:ascii="Calibri" w:hAnsi="Calibri" w:cs="Calibri"/>
          <w:b/>
          <w:bCs/>
          <w:noProof/>
          <w:color w:val="365F91"/>
          <w:sz w:val="28"/>
          <w:szCs w:val="28"/>
          <w:lang w:eastAsia="it-IT"/>
        </w:rPr>
        <w:drawing>
          <wp:anchor distT="0" distB="0" distL="114300" distR="114300" simplePos="0" relativeHeight="251661312" behindDoc="0" locked="0" layoutInCell="1" allowOverlap="1" wp14:anchorId="03AF5D58" wp14:editId="799CAA7E">
            <wp:simplePos x="0" y="0"/>
            <wp:positionH relativeFrom="column">
              <wp:posOffset>7007860</wp:posOffset>
            </wp:positionH>
            <wp:positionV relativeFrom="paragraph">
              <wp:posOffset>-240665</wp:posOffset>
            </wp:positionV>
            <wp:extent cx="2008505" cy="612140"/>
            <wp:effectExtent l="0" t="0" r="0" b="0"/>
            <wp:wrapNone/>
            <wp:docPr id="6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3">
                      <a:extLst>
                        <a:ext uri="{FF2B5EF4-FFF2-40B4-BE49-F238E27FC236}">
                          <a16:creationId xmlns:a16="http://schemas.microsoft.com/office/drawing/2014/main" id="{00000000-0008-0000-01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7793C">
        <w:rPr>
          <w:rFonts w:ascii="Calibri" w:hAnsi="Calibri" w:cs="Calibri"/>
          <w:b/>
          <w:bCs/>
          <w:color w:val="365F91"/>
          <w:sz w:val="28"/>
          <w:szCs w:val="28"/>
          <w:lang w:eastAsia="it-IT"/>
        </w:rPr>
        <w:tab/>
      </w:r>
    </w:p>
    <w:tbl>
      <w:tblPr>
        <w:tblW w:w="140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3"/>
        <w:gridCol w:w="8113"/>
      </w:tblGrid>
      <w:tr w:rsidR="00686379" w:rsidRPr="005C143D" w14:paraId="216FD13F" w14:textId="77777777" w:rsidTr="009003DE">
        <w:trPr>
          <w:trHeight w:val="2561"/>
          <w:jc w:val="center"/>
        </w:trPr>
        <w:tc>
          <w:tcPr>
            <w:tcW w:w="14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F3BB" w14:textId="77777777" w:rsidR="00686379" w:rsidRPr="002B3B48" w:rsidRDefault="00686379" w:rsidP="009003DE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36"/>
                <w:szCs w:val="48"/>
              </w:rPr>
            </w:pPr>
          </w:p>
          <w:p w14:paraId="1CC8A5E5" w14:textId="77777777" w:rsidR="00EB032C" w:rsidRPr="00465E7D" w:rsidRDefault="00EB032C" w:rsidP="00EB032C">
            <w:pPr>
              <w:jc w:val="center"/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</w:pPr>
            <w:r w:rsidRPr="00465E7D">
              <w:rPr>
                <w:rFonts w:ascii="Calibri" w:hAnsi="Calibri" w:cs="Calibri"/>
                <w:b/>
                <w:bCs/>
                <w:color w:val="002060"/>
                <w:sz w:val="48"/>
                <w:szCs w:val="48"/>
              </w:rPr>
              <w:t>Ministero dell’Interno</w:t>
            </w:r>
          </w:p>
          <w:p w14:paraId="58910BC5" w14:textId="77777777" w:rsidR="00EB032C" w:rsidRPr="00465E7D" w:rsidRDefault="00EB032C" w:rsidP="00EB032C">
            <w:pPr>
              <w:jc w:val="center"/>
              <w:rPr>
                <w:rFonts w:ascii="Calibri" w:hAnsi="Calibri" w:cs="Calibri"/>
                <w:color w:val="002060"/>
                <w:sz w:val="44"/>
                <w:szCs w:val="48"/>
              </w:rPr>
            </w:pPr>
            <w:r w:rsidRPr="00465E7D">
              <w:rPr>
                <w:rFonts w:ascii="Calibri" w:hAnsi="Calibri" w:cs="Calibri"/>
                <w:color w:val="002060"/>
                <w:sz w:val="44"/>
                <w:szCs w:val="48"/>
              </w:rPr>
              <w:t xml:space="preserve">Dipartimento di Pubblica Sicurezza </w:t>
            </w:r>
          </w:p>
          <w:p w14:paraId="4F7D6CA4" w14:textId="77777777" w:rsidR="00EB032C" w:rsidRPr="005C143D" w:rsidRDefault="00EB032C" w:rsidP="00EB032C">
            <w:pPr>
              <w:rPr>
                <w:rFonts w:ascii="Calibri" w:hAnsi="Calibri" w:cs="Calibri"/>
                <w:color w:val="1F497D"/>
              </w:rPr>
            </w:pPr>
          </w:p>
          <w:p w14:paraId="169DC728" w14:textId="5812CEBA" w:rsidR="00686379" w:rsidRDefault="00EB032C" w:rsidP="00EB032C">
            <w:pPr>
              <w:jc w:val="center"/>
              <w:rPr>
                <w:rFonts w:ascii="Calibri" w:hAnsi="Calibri" w:cs="Calibri"/>
                <w:color w:val="002060"/>
                <w:sz w:val="36"/>
                <w:lang w:eastAsia="it-IT"/>
              </w:rPr>
            </w:pPr>
            <w:r w:rsidRPr="00465E7D">
              <w:rPr>
                <w:rFonts w:ascii="Calibri" w:hAnsi="Calibri" w:cs="Calibri"/>
                <w:b/>
                <w:bCs/>
                <w:color w:val="002060"/>
                <w:sz w:val="44"/>
                <w:szCs w:val="40"/>
              </w:rPr>
              <w:t>Programmi Nazionali BMVI e ISF 2021 – 2027</w:t>
            </w:r>
          </w:p>
          <w:p w14:paraId="14ABE4A9" w14:textId="35F1C19F" w:rsidR="00EB032C" w:rsidRPr="002B3B48" w:rsidRDefault="00EB032C" w:rsidP="00DD5CAE">
            <w:pPr>
              <w:jc w:val="center"/>
              <w:rPr>
                <w:rFonts w:ascii="Calibri" w:hAnsi="Calibri" w:cs="Calibri"/>
                <w:color w:val="002060"/>
                <w:sz w:val="36"/>
                <w:lang w:eastAsia="it-IT"/>
              </w:rPr>
            </w:pPr>
          </w:p>
        </w:tc>
      </w:tr>
      <w:tr w:rsidR="00686379" w:rsidRPr="007325AA" w14:paraId="390BB8AA" w14:textId="77777777" w:rsidTr="00401178">
        <w:trPr>
          <w:trHeight w:val="1418"/>
          <w:jc w:val="center"/>
        </w:trPr>
        <w:tc>
          <w:tcPr>
            <w:tcW w:w="14016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59BB0F4D" w14:textId="77777777" w:rsidR="00686379" w:rsidRPr="00686379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CONTROLLO AMMINISTRATIVO FASE 1B</w:t>
            </w:r>
          </w:p>
          <w:p w14:paraId="7846E203" w14:textId="77777777" w:rsidR="00686379" w:rsidRPr="00686379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CONTRATTO E DOCUMENTAZIONE DI GARA</w:t>
            </w:r>
          </w:p>
          <w:p w14:paraId="525977F0" w14:textId="77777777" w:rsidR="00686379" w:rsidRPr="00686379" w:rsidRDefault="00686379" w:rsidP="006863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</w:pPr>
          </w:p>
          <w:p w14:paraId="4D5B0CED" w14:textId="08EC7422" w:rsidR="00686379" w:rsidRPr="007325AA" w:rsidRDefault="00686379" w:rsidP="00D34507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FFFFFF"/>
                <w:sz w:val="32"/>
                <w:szCs w:val="40"/>
                <w:lang w:eastAsia="it-IT"/>
              </w:rPr>
            </w:pP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 xml:space="preserve">CHECK LIST DI </w:t>
            </w:r>
            <w:r w:rsidR="00D34507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VERIFICA</w:t>
            </w:r>
            <w:r w:rsidRPr="00686379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 xml:space="preserve"> </w:t>
            </w:r>
            <w:r w:rsidR="00ED776D" w:rsidRPr="007D43BD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40"/>
                <w:lang w:eastAsia="it-IT"/>
              </w:rPr>
              <w:t>DEGLI AFFIDAMENTI IN HOUSE</w:t>
            </w:r>
          </w:p>
        </w:tc>
      </w:tr>
      <w:tr w:rsidR="00686379" w:rsidRPr="007325AA" w14:paraId="656A09D7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1B82010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Beneficiario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FB2B22B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725A6E0E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30085E5D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Numero del</w:t>
            </w:r>
            <w:r w:rsidRPr="007325AA"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 xml:space="preserve">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C18E6C8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7EF8EAA6" w14:textId="77777777" w:rsidTr="00401178">
        <w:trPr>
          <w:trHeight w:val="851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23D0267" w14:textId="77777777" w:rsidR="00686379" w:rsidRPr="007325AA" w:rsidRDefault="00686379" w:rsidP="009003DE">
            <w:pP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32"/>
                <w:lang w:eastAsia="it-IT"/>
              </w:rPr>
              <w:t>Titolo del Progetto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91F1E0" w14:textId="77777777" w:rsidR="00686379" w:rsidRPr="007325AA" w:rsidRDefault="00686379" w:rsidP="009003DE">
            <w:pPr>
              <w:spacing w:line="276" w:lineRule="auto"/>
              <w:rPr>
                <w:rFonts w:ascii="Calibri" w:hAnsi="Calibri" w:cs="Calibri"/>
                <w:sz w:val="32"/>
                <w:szCs w:val="22"/>
              </w:rPr>
            </w:pPr>
          </w:p>
        </w:tc>
      </w:tr>
      <w:tr w:rsidR="00686379" w:rsidRPr="007325AA" w14:paraId="22D02CED" w14:textId="77777777" w:rsidTr="00584B63">
        <w:trPr>
          <w:trHeight w:val="90"/>
          <w:jc w:val="center"/>
        </w:trPr>
        <w:tc>
          <w:tcPr>
            <w:tcW w:w="14016" w:type="dxa"/>
            <w:gridSpan w:val="2"/>
            <w:shd w:val="clear" w:color="auto" w:fill="FFFFFF"/>
            <w:noWrap/>
            <w:vAlign w:val="bottom"/>
            <w:hideMark/>
          </w:tcPr>
          <w:p w14:paraId="2E4EDF10" w14:textId="77777777" w:rsidR="00686379" w:rsidRPr="007325AA" w:rsidRDefault="00686379" w:rsidP="009003DE">
            <w:pPr>
              <w:jc w:val="center"/>
              <w:rPr>
                <w:rFonts w:ascii="Calibri" w:hAnsi="Calibri" w:cs="Calibri"/>
                <w:color w:val="000000"/>
                <w:sz w:val="32"/>
                <w:lang w:eastAsia="it-IT"/>
              </w:rPr>
            </w:pPr>
          </w:p>
        </w:tc>
      </w:tr>
    </w:tbl>
    <w:p w14:paraId="6FAF0B4D" w14:textId="77777777" w:rsidR="00EB032C" w:rsidRDefault="00EB032C" w:rsidP="00686379">
      <w:pPr>
        <w:spacing w:after="160" w:line="259" w:lineRule="auto"/>
        <w:rPr>
          <w:sz w:val="20"/>
          <w:szCs w:val="20"/>
        </w:rPr>
      </w:pPr>
    </w:p>
    <w:tbl>
      <w:tblPr>
        <w:tblpPr w:leftFromText="180" w:rightFromText="180" w:vertAnchor="page" w:horzAnchor="margin" w:tblpXSpec="center" w:tblpY="1725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F4E79" w:themeFill="accent1" w:themeFillShade="80"/>
        <w:tblLook w:val="01E0" w:firstRow="1" w:lastRow="1" w:firstColumn="1" w:lastColumn="1" w:noHBand="0" w:noVBand="0"/>
      </w:tblPr>
      <w:tblGrid>
        <w:gridCol w:w="1131"/>
        <w:gridCol w:w="63"/>
        <w:gridCol w:w="364"/>
        <w:gridCol w:w="971"/>
        <w:gridCol w:w="268"/>
        <w:gridCol w:w="1159"/>
        <w:gridCol w:w="720"/>
        <w:gridCol w:w="71"/>
        <w:gridCol w:w="2158"/>
        <w:gridCol w:w="507"/>
        <w:gridCol w:w="1751"/>
        <w:gridCol w:w="330"/>
        <w:gridCol w:w="4743"/>
      </w:tblGrid>
      <w:tr w:rsidR="00023B1E" w:rsidRPr="00BB5EB3" w14:paraId="307F6099" w14:textId="77777777" w:rsidTr="00465E7D">
        <w:trPr>
          <w:trHeight w:val="794"/>
        </w:trPr>
        <w:tc>
          <w:tcPr>
            <w:tcW w:w="5000" w:type="pct"/>
            <w:gridSpan w:val="13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</w:tcPr>
          <w:p w14:paraId="3CC5564F" w14:textId="77777777" w:rsidR="00023B1E" w:rsidRPr="00BB5EB3" w:rsidRDefault="00023B1E" w:rsidP="00465E7D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BB5EB3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  <w:lastRenderedPageBreak/>
              <w:t xml:space="preserve">Check list </w:t>
            </w:r>
          </w:p>
          <w:p w14:paraId="798CFAD3" w14:textId="77777777" w:rsidR="00023B1E" w:rsidRPr="00BB5EB3" w:rsidRDefault="00023B1E" w:rsidP="00465E7D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BB5EB3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8"/>
                <w:lang w:eastAsia="it-IT"/>
              </w:rPr>
              <w:t>Verifiche amministrativo contabili su base documentale</w:t>
            </w:r>
          </w:p>
        </w:tc>
      </w:tr>
      <w:tr w:rsidR="00023B1E" w:rsidRPr="008F104A" w14:paraId="58A5474B" w14:textId="77777777" w:rsidTr="00465E7D">
        <w:trPr>
          <w:trHeight w:val="762"/>
        </w:trPr>
        <w:tc>
          <w:tcPr>
            <w:tcW w:w="397" w:type="pct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21A98F72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Data:   </w:t>
            </w:r>
          </w:p>
        </w:tc>
        <w:tc>
          <w:tcPr>
            <w:tcW w:w="491" w:type="pct"/>
            <w:gridSpan w:val="3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00F0D54B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501" w:type="pct"/>
            <w:gridSpan w:val="2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32335FA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Verificatori:</w:t>
            </w:r>
          </w:p>
        </w:tc>
        <w:tc>
          <w:tcPr>
            <w:tcW w:w="3611" w:type="pct"/>
            <w:gridSpan w:val="7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77E99FD3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0598CBD6" w14:textId="77777777" w:rsidTr="00465E7D">
        <w:trPr>
          <w:trHeight w:val="1054"/>
        </w:trPr>
        <w:tc>
          <w:tcPr>
            <w:tcW w:w="888" w:type="pct"/>
            <w:gridSpan w:val="4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57ACDE30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Titolo del Progetto:</w:t>
            </w:r>
          </w:p>
        </w:tc>
        <w:tc>
          <w:tcPr>
            <w:tcW w:w="4112" w:type="pct"/>
            <w:gridSpan w:val="9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1DD4BE64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36B46336" w14:textId="77777777" w:rsidTr="00465E7D">
        <w:trPr>
          <w:trHeight w:val="915"/>
        </w:trPr>
        <w:tc>
          <w:tcPr>
            <w:tcW w:w="547" w:type="pct"/>
            <w:gridSpan w:val="3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51D08B7C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Beneficiario:</w:t>
            </w:r>
          </w:p>
        </w:tc>
        <w:tc>
          <w:tcPr>
            <w:tcW w:w="2056" w:type="pct"/>
            <w:gridSpan w:val="7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4883FD7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615" w:type="pct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0A9FD43E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Importo del  progetto:</w:t>
            </w:r>
          </w:p>
        </w:tc>
        <w:tc>
          <w:tcPr>
            <w:tcW w:w="1782" w:type="pct"/>
            <w:gridSpan w:val="2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309DF45D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</w:p>
        </w:tc>
      </w:tr>
      <w:tr w:rsidR="00023B1E" w:rsidRPr="008F104A" w14:paraId="5431F026" w14:textId="77777777" w:rsidTr="00465E7D">
        <w:trPr>
          <w:trHeight w:val="724"/>
        </w:trPr>
        <w:tc>
          <w:tcPr>
            <w:tcW w:w="982" w:type="pct"/>
            <w:gridSpan w:val="5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shd w:val="clear" w:color="auto" w:fill="auto"/>
            <w:vAlign w:val="center"/>
          </w:tcPr>
          <w:p w14:paraId="414ED6C6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Programma Nazionale 2021-2027:</w:t>
            </w:r>
            <w:r w:rsidRPr="00465E7D">
              <w:rPr>
                <w:rFonts w:asciiTheme="minorHAnsi" w:hAnsiTheme="minorHAnsi" w:cs="Arial"/>
                <w:b/>
                <w:color w:val="002060"/>
              </w:rPr>
              <w:t xml:space="preserve"> </w:t>
            </w:r>
          </w:p>
        </w:tc>
        <w:tc>
          <w:tcPr>
            <w:tcW w:w="4018" w:type="pct"/>
            <w:gridSpan w:val="8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1760"/>
              <w:gridCol w:w="508"/>
              <w:gridCol w:w="3261"/>
            </w:tblGrid>
            <w:tr w:rsidR="00023B1E" w:rsidRPr="00465E7D" w14:paraId="3C5F6767" w14:textId="77777777" w:rsidTr="00465E7D">
              <w:sdt>
                <w:sdtPr>
                  <w:rPr>
                    <w:rFonts w:asciiTheme="minorHAnsi" w:hAnsiTheme="minorHAnsi" w:cs="Arial"/>
                    <w:color w:val="002060"/>
                  </w:rPr>
                  <w:id w:val="-7214392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089240B3" w14:textId="77777777" w:rsidR="00023B1E" w:rsidRPr="00465E7D" w:rsidRDefault="00023B1E" w:rsidP="00335B52">
                      <w:pPr>
                        <w:framePr w:hSpace="180" w:wrap="around" w:vAnchor="page" w:hAnchor="margin" w:xAlign="center" w:y="1725"/>
                        <w:rPr>
                          <w:rFonts w:asciiTheme="minorHAnsi" w:hAnsiTheme="minorHAnsi" w:cs="Arial"/>
                          <w:color w:val="002060"/>
                        </w:rPr>
                      </w:pPr>
                      <w:r w:rsidRPr="00465E7D">
                        <w:rPr>
                          <w:rFonts w:ascii="MS Gothic" w:eastAsia="MS Gothic" w:hAnsi="MS Gothic" w:cs="Arial" w:hint="eastAsia"/>
                          <w:color w:val="00206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760" w:type="dxa"/>
                </w:tcPr>
                <w:p w14:paraId="6DC8D38A" w14:textId="77777777" w:rsidR="00023B1E" w:rsidRPr="00465E7D" w:rsidRDefault="00023B1E" w:rsidP="00335B52">
                  <w:pPr>
                    <w:framePr w:hSpace="180" w:wrap="around" w:vAnchor="page" w:hAnchor="margin" w:xAlign="center" w:y="1725"/>
                    <w:rPr>
                      <w:rFonts w:asciiTheme="minorHAnsi" w:hAnsiTheme="minorHAnsi" w:cs="Arial"/>
                      <w:b/>
                      <w:color w:val="002060"/>
                    </w:rPr>
                  </w:pPr>
                  <w:r w:rsidRPr="00465E7D">
                    <w:rPr>
                      <w:rFonts w:asciiTheme="minorHAnsi" w:hAnsiTheme="minorHAnsi" w:cs="Arial"/>
                      <w:b/>
                      <w:color w:val="002060"/>
                    </w:rPr>
                    <w:t xml:space="preserve">ISF </w:t>
                  </w:r>
                </w:p>
              </w:tc>
              <w:sdt>
                <w:sdtPr>
                  <w:rPr>
                    <w:rFonts w:asciiTheme="minorHAnsi" w:hAnsiTheme="minorHAnsi" w:cs="Arial"/>
                    <w:color w:val="002060"/>
                  </w:rPr>
                  <w:id w:val="-12781774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08" w:type="dxa"/>
                    </w:tcPr>
                    <w:p w14:paraId="4C683E08" w14:textId="77777777" w:rsidR="00023B1E" w:rsidRPr="00465E7D" w:rsidRDefault="00023B1E" w:rsidP="00335B52">
                      <w:pPr>
                        <w:framePr w:hSpace="180" w:wrap="around" w:vAnchor="page" w:hAnchor="margin" w:xAlign="center" w:y="1725"/>
                        <w:rPr>
                          <w:rFonts w:asciiTheme="minorHAnsi" w:hAnsiTheme="minorHAnsi" w:cs="Arial"/>
                          <w:color w:val="002060"/>
                        </w:rPr>
                      </w:pPr>
                      <w:r w:rsidRPr="00465E7D">
                        <w:rPr>
                          <w:rFonts w:ascii="MS Gothic" w:eastAsia="MS Gothic" w:hAnsi="MS Gothic" w:cs="Arial" w:hint="eastAsia"/>
                          <w:color w:val="00206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261" w:type="dxa"/>
                </w:tcPr>
                <w:p w14:paraId="56209E22" w14:textId="77777777" w:rsidR="00023B1E" w:rsidRPr="00465E7D" w:rsidRDefault="00023B1E" w:rsidP="00335B52">
                  <w:pPr>
                    <w:framePr w:hSpace="180" w:wrap="around" w:vAnchor="page" w:hAnchor="margin" w:xAlign="center" w:y="1725"/>
                    <w:rPr>
                      <w:rFonts w:asciiTheme="minorHAnsi" w:hAnsiTheme="minorHAnsi" w:cs="Arial"/>
                      <w:b/>
                      <w:color w:val="002060"/>
                    </w:rPr>
                  </w:pPr>
                  <w:r w:rsidRPr="00465E7D">
                    <w:rPr>
                      <w:rFonts w:asciiTheme="minorHAnsi" w:hAnsiTheme="minorHAnsi" w:cs="Arial"/>
                      <w:b/>
                      <w:color w:val="002060"/>
                    </w:rPr>
                    <w:t>BMVI</w:t>
                  </w:r>
                </w:p>
              </w:tc>
            </w:tr>
          </w:tbl>
          <w:p w14:paraId="330EA738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</w:tr>
      <w:tr w:rsidR="00023B1E" w:rsidRPr="008F104A" w14:paraId="30E7A7D1" w14:textId="77777777" w:rsidTr="00465E7D">
        <w:trPr>
          <w:trHeight w:val="628"/>
        </w:trPr>
        <w:tc>
          <w:tcPr>
            <w:tcW w:w="419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FFFFFF"/>
            </w:tcBorders>
            <w:shd w:val="clear" w:color="auto" w:fill="auto"/>
            <w:vAlign w:val="center"/>
          </w:tcPr>
          <w:p w14:paraId="1AD6D5B9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Obiettivo Specifico:</w:t>
            </w:r>
          </w:p>
        </w:tc>
        <w:tc>
          <w:tcPr>
            <w:tcW w:w="1223" w:type="pct"/>
            <w:gridSpan w:val="5"/>
            <w:tcBorders>
              <w:top w:val="thinThickSmallGap" w:sz="24" w:space="0" w:color="C0C0C0"/>
              <w:left w:val="single" w:sz="24" w:space="0" w:color="FFFFFF"/>
              <w:bottom w:val="thinThickSmallGap" w:sz="24" w:space="0" w:color="C0C0C0"/>
              <w:right w:val="thinThickSmallGap" w:sz="24" w:space="0" w:color="C0C0C0"/>
            </w:tcBorders>
            <w:shd w:val="clear" w:color="auto" w:fill="auto"/>
            <w:vAlign w:val="center"/>
          </w:tcPr>
          <w:p w14:paraId="3ED1CD9C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</w:tc>
        <w:tc>
          <w:tcPr>
            <w:tcW w:w="783" w:type="pct"/>
            <w:gridSpan w:val="2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nil"/>
            </w:tcBorders>
            <w:shd w:val="clear" w:color="auto" w:fill="auto"/>
            <w:vAlign w:val="center"/>
          </w:tcPr>
          <w:p w14:paraId="11C9A461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Tipo di Intervento</w:t>
            </w:r>
          </w:p>
        </w:tc>
        <w:tc>
          <w:tcPr>
            <w:tcW w:w="2575" w:type="pct"/>
            <w:gridSpan w:val="4"/>
            <w:tcBorders>
              <w:top w:val="thinThickSmallGap" w:sz="24" w:space="0" w:color="C0C0C0"/>
              <w:left w:val="nil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7FB3D462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 xml:space="preserve"> </w:t>
            </w:r>
          </w:p>
        </w:tc>
      </w:tr>
      <w:tr w:rsidR="00023B1E" w:rsidRPr="008F104A" w14:paraId="0C3280FC" w14:textId="77777777" w:rsidTr="00465E7D">
        <w:trPr>
          <w:trHeight w:val="923"/>
        </w:trPr>
        <w:tc>
          <w:tcPr>
            <w:tcW w:w="5000" w:type="pct"/>
            <w:gridSpan w:val="13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421DCC46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Oggetto della procedura:</w:t>
            </w:r>
          </w:p>
        </w:tc>
      </w:tr>
      <w:tr w:rsidR="00023B1E" w:rsidRPr="008F104A" w14:paraId="16A3B90F" w14:textId="77777777" w:rsidTr="00465E7D">
        <w:trPr>
          <w:trHeight w:val="1049"/>
        </w:trPr>
        <w:tc>
          <w:tcPr>
            <w:tcW w:w="1642" w:type="pct"/>
            <w:gridSpan w:val="7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088AF813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 w:rsidRPr="00465E7D">
              <w:rPr>
                <w:rFonts w:asciiTheme="minorHAnsi" w:hAnsiTheme="minorHAnsi" w:cstheme="minorHAnsi"/>
                <w:b/>
                <w:bCs/>
                <w:color w:val="002060"/>
              </w:rPr>
              <w:t>Tipologia procedura:</w:t>
            </w:r>
          </w:p>
        </w:tc>
        <w:tc>
          <w:tcPr>
            <w:tcW w:w="3358" w:type="pct"/>
            <w:gridSpan w:val="6"/>
            <w:tcBorders>
              <w:top w:val="thinThickSmallGap" w:sz="24" w:space="0" w:color="C0C0C0"/>
              <w:left w:val="thinThickSmallGap" w:sz="24" w:space="0" w:color="C0C0C0"/>
              <w:bottom w:val="thinThickSmallGap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565BB10A" w14:textId="77777777" w:rsidR="00023B1E" w:rsidRPr="00465E7D" w:rsidRDefault="00023B1E" w:rsidP="00465E7D">
            <w:pPr>
              <w:rPr>
                <w:rFonts w:asciiTheme="minorHAnsi" w:hAnsiTheme="minorHAnsi" w:cstheme="minorHAnsi"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Soggetto aggiudicatario</w:t>
            </w:r>
          </w:p>
        </w:tc>
      </w:tr>
      <w:tr w:rsidR="00023B1E" w:rsidRPr="008F104A" w14:paraId="435A89FE" w14:textId="77777777" w:rsidTr="00465E7D">
        <w:trPr>
          <w:trHeight w:val="892"/>
        </w:trPr>
        <w:tc>
          <w:tcPr>
            <w:tcW w:w="1667" w:type="pct"/>
            <w:gridSpan w:val="8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21FF218F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Contratto:</w:t>
            </w:r>
          </w:p>
        </w:tc>
        <w:tc>
          <w:tcPr>
            <w:tcW w:w="1667" w:type="pct"/>
            <w:gridSpan w:val="4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53B72BC3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Data:</w:t>
            </w:r>
          </w:p>
        </w:tc>
        <w:tc>
          <w:tcPr>
            <w:tcW w:w="1666" w:type="pct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auto"/>
            <w:vAlign w:val="center"/>
          </w:tcPr>
          <w:p w14:paraId="3516B640" w14:textId="77777777" w:rsidR="00023B1E" w:rsidRPr="00465E7D" w:rsidRDefault="00023B1E" w:rsidP="00465E7D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</w:rPr>
              <w:t>Importo:</w:t>
            </w:r>
          </w:p>
        </w:tc>
      </w:tr>
    </w:tbl>
    <w:p w14:paraId="419B032A" w14:textId="77777777" w:rsidR="00DA7401" w:rsidRDefault="00DA7401">
      <w:pPr>
        <w:spacing w:after="160" w:line="259" w:lineRule="auto"/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4503"/>
      </w:tblGrid>
      <w:tr w:rsidR="00B83E18" w:rsidRPr="00971472" w14:paraId="7A84C03C" w14:textId="77777777" w:rsidTr="00DD5CAE">
        <w:trPr>
          <w:trHeight w:val="947"/>
        </w:trPr>
        <w:tc>
          <w:tcPr>
            <w:tcW w:w="5000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</w:tcPr>
          <w:p w14:paraId="72D54353" w14:textId="77777777" w:rsidR="00B83E18" w:rsidRPr="00971472" w:rsidRDefault="004325D6" w:rsidP="00971472">
            <w:pPr>
              <w:jc w:val="center"/>
              <w:rPr>
                <w:rFonts w:asciiTheme="minorHAnsi" w:hAnsiTheme="minorHAnsi" w:cstheme="minorHAnsi"/>
                <w:sz w:val="36"/>
              </w:rPr>
            </w:pPr>
            <w:r w:rsidRPr="00971472">
              <w:rPr>
                <w:rFonts w:asciiTheme="minorHAnsi" w:hAnsiTheme="minorHAnsi" w:cstheme="minorHAnsi"/>
                <w:b/>
                <w:color w:val="FFFFFF" w:themeColor="background1"/>
                <w:sz w:val="36"/>
              </w:rPr>
              <w:t>Verifica del contratto e della documentazione allegata</w:t>
            </w:r>
          </w:p>
        </w:tc>
      </w:tr>
      <w:tr w:rsidR="00B83E18" w:rsidRPr="001B4AA8" w14:paraId="0CE2D458" w14:textId="77777777" w:rsidTr="00DD5CAE">
        <w:trPr>
          <w:trHeight w:val="1086"/>
        </w:trPr>
        <w:tc>
          <w:tcPr>
            <w:tcW w:w="5000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</w:tcPr>
          <w:p w14:paraId="51CFAC04" w14:textId="77777777" w:rsidR="00B83E18" w:rsidRPr="00083D80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Indicare con il rispettivo simbolo in corrispondenza di ogni punto di controllo se l'esito della verifica è positivo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(Si)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o negativo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(No)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 o Non Applicabile </w:t>
            </w:r>
            <w:r w:rsidRPr="00083D80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(NA)</w:t>
            </w: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. </w:t>
            </w:r>
          </w:p>
          <w:p w14:paraId="2706F6C9" w14:textId="77777777" w:rsidR="00B83E18" w:rsidRPr="00083D80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Utilizzare il campo "Documentazione di riferimento" per riportare i documenti visionati a supporto del controllo. </w:t>
            </w:r>
          </w:p>
          <w:p w14:paraId="513654FC" w14:textId="77777777" w:rsidR="00B83E18" w:rsidRDefault="00B83E18" w:rsidP="0054413A">
            <w:pPr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083D80">
              <w:rPr>
                <w:rFonts w:asciiTheme="minorHAnsi" w:hAnsiTheme="minorHAnsi" w:cstheme="minorHAnsi"/>
                <w:bCs/>
                <w:sz w:val="22"/>
                <w:szCs w:val="20"/>
              </w:rPr>
              <w:t>Nel caso un punto di controllo non sia applicabile nell'ambito della verifica effettuata, indicare sempre la motivazione nel campo "Commenti".</w:t>
            </w:r>
          </w:p>
          <w:p w14:paraId="2C672AD4" w14:textId="77777777" w:rsidR="00F2084C" w:rsidRPr="001B4AA8" w:rsidRDefault="00F2084C" w:rsidP="00D11150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F8F8D3" w14:textId="77777777" w:rsidR="00B83E18" w:rsidRPr="001B4AA8" w:rsidRDefault="00B83E18">
      <w:pPr>
        <w:spacing w:after="160" w:line="259" w:lineRule="auto"/>
        <w:rPr>
          <w:rFonts w:asciiTheme="minorHAnsi" w:hAnsiTheme="minorHAnsi" w:cstheme="minorHAnsi"/>
          <w:sz w:val="2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51"/>
        <w:gridCol w:w="2978"/>
        <w:gridCol w:w="2028"/>
        <w:gridCol w:w="44"/>
        <w:gridCol w:w="2843"/>
        <w:gridCol w:w="58"/>
        <w:gridCol w:w="2828"/>
        <w:gridCol w:w="73"/>
      </w:tblGrid>
      <w:tr w:rsidR="00D36E33" w:rsidRPr="00AB1C7E" w14:paraId="53C893BB" w14:textId="77777777" w:rsidTr="00DD5CAE">
        <w:trPr>
          <w:cantSplit/>
          <w:trHeight w:val="1159"/>
          <w:tblHeader/>
          <w:jc w:val="center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0E6EB416" w14:textId="77777777" w:rsidR="009860FC" w:rsidRPr="00BB5EB3" w:rsidDel="00F56E12" w:rsidRDefault="009860FC" w:rsidP="00DD5CAE">
            <w:pPr>
              <w:pStyle w:val="Paragrafoelenco1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Descrizione del controllo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47FF662A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Positivo (Si) Negativo(No)</w:t>
            </w:r>
          </w:p>
          <w:p w14:paraId="2BFF3F9D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Non applicabile (NA)</w:t>
            </w:r>
          </w:p>
        </w:tc>
        <w:tc>
          <w:tcPr>
            <w:tcW w:w="714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7A382227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Documentazione di riferimento per il controllo</w:t>
            </w:r>
          </w:p>
        </w:tc>
        <w:tc>
          <w:tcPr>
            <w:tcW w:w="1000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5683343E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0"/>
              </w:rPr>
              <w:t>Estremi della documentazione di riferimento</w:t>
            </w:r>
          </w:p>
        </w:tc>
        <w:tc>
          <w:tcPr>
            <w:tcW w:w="1000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95B3D7"/>
            <w:vAlign w:val="center"/>
          </w:tcPr>
          <w:p w14:paraId="027814F4" w14:textId="77777777" w:rsidR="009860FC" w:rsidRPr="00BB5EB3" w:rsidRDefault="009860FC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B5EB3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Commenti</w:t>
            </w:r>
          </w:p>
        </w:tc>
      </w:tr>
      <w:tr w:rsidR="00D75A32" w:rsidRPr="001B4AA8" w14:paraId="6109516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D84487" w14:textId="0AA90684" w:rsidR="00235745" w:rsidRPr="00B90494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 trasmettere la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documentazione necessaria all’approvazione del contratto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il Beneficiario ha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indica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="00235745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l’ufficio in cui è conservata la suddetta documentazione?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3C9C67D" w14:textId="77777777" w:rsidR="00235745" w:rsidRPr="001B4AA8" w:rsidRDefault="00235745">
            <w:pPr>
              <w:tabs>
                <w:tab w:val="left" w:pos="49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D05BEA" w14:textId="116B9B0C" w:rsidR="00235745" w:rsidRPr="001B4AA8" w:rsidRDefault="00235745" w:rsidP="00DD5CAE">
            <w:pPr>
              <w:pStyle w:val="Paragrafoelenco1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62E3D1" w14:textId="77777777" w:rsidR="00235745" w:rsidRPr="001B4AA8" w:rsidRDefault="00235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CAB187" w14:textId="77777777" w:rsidR="00235745" w:rsidRPr="001B4AA8" w:rsidRDefault="0023574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45364D81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84893A" w14:textId="77777777" w:rsidR="005C7DB0" w:rsidRPr="00B90494" w:rsidRDefault="00B0652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Conformemente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ai dettati di cui </w:t>
            </w:r>
            <w:r w:rsidRPr="00B90494">
              <w:rPr>
                <w:rFonts w:asciiTheme="minorHAnsi" w:hAnsiTheme="minorHAnsi" w:cstheme="minorHAnsi"/>
                <w:sz w:val="20"/>
              </w:rPr>
              <w:t>agli artt. 36, comma 9,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</w:rPr>
              <w:t xml:space="preserve">72 e 73 del D. Lgs. n. 50/2016, nonché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al Decreto ministeriale infrastrutture e trasporti 2 dicembre 2016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90494">
              <w:rPr>
                <w:rFonts w:asciiTheme="minorHAnsi" w:hAnsiTheme="minorHAnsi" w:cstheme="minorHAnsi"/>
                <w:sz w:val="20"/>
              </w:rPr>
              <w:t>all’art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. 37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</w:rPr>
              <w:t>D.Lgs.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 n. 33/2013, così come sostituito dall’art. 32 del D. Lgs. n. 97/2016 è stata effettuata</w:t>
            </w:r>
            <w:r w:rsidR="005C7DB0" w:rsidRPr="00B90494">
              <w:rPr>
                <w:rFonts w:asciiTheme="minorHAnsi" w:hAnsiTheme="minorHAnsi" w:cstheme="minorHAnsi"/>
                <w:sz w:val="20"/>
              </w:rPr>
              <w:t>:</w:t>
            </w:r>
          </w:p>
          <w:p w14:paraId="20914160" w14:textId="77777777" w:rsidR="005C7DB0" w:rsidRPr="00B90494" w:rsidRDefault="005C7DB0" w:rsidP="00DD5CAE">
            <w:pPr>
              <w:pStyle w:val="Paragrafoelenco1"/>
              <w:numPr>
                <w:ilvl w:val="0"/>
                <w:numId w:val="21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 la pubblicità post aggiudicazione;</w:t>
            </w:r>
          </w:p>
          <w:p w14:paraId="7F85C867" w14:textId="77777777" w:rsidR="00B90494" w:rsidRPr="005A492C" w:rsidRDefault="005C7DB0" w:rsidP="00DD5CAE">
            <w:pPr>
              <w:pStyle w:val="Paragrafoelenco"/>
              <w:numPr>
                <w:ilvl w:val="0"/>
                <w:numId w:val="21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</w:rPr>
            </w:pPr>
            <w:r w:rsidRPr="00B90494">
              <w:rPr>
                <w:rFonts w:asciiTheme="minorHAnsi" w:hAnsiTheme="minorHAnsi" w:cstheme="minorHAnsi"/>
                <w:sz w:val="20"/>
              </w:rPr>
              <w:t xml:space="preserve">sono stati pubblicati e aggiornati sul profilo del committente, nella sezione </w:t>
            </w:r>
            <w:r w:rsidRPr="00B90494">
              <w:rPr>
                <w:rFonts w:asciiTheme="minorHAnsi" w:hAnsiTheme="minorHAnsi" w:cstheme="minorHAnsi"/>
                <w:sz w:val="20"/>
              </w:rPr>
              <w:lastRenderedPageBreak/>
              <w:t xml:space="preserve">“Amministrazione trasparente” tutti gli atti relativi alle procedure 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t>per l'affidamento di appalti pubblici</w:t>
            </w:r>
            <w:r w:rsidR="00221682">
              <w:rPr>
                <w:rFonts w:asciiTheme="minorHAnsi" w:hAnsiTheme="minorHAnsi" w:cstheme="minorHAnsi"/>
                <w:sz w:val="20"/>
              </w:rPr>
              <w:t>,</w:t>
            </w:r>
            <w:r w:rsidR="00F2084C" w:rsidRPr="00F2084C">
              <w:rPr>
                <w:rFonts w:asciiTheme="minorHAnsi" w:hAnsiTheme="minorHAnsi" w:cstheme="minorHAnsi"/>
                <w:sz w:val="20"/>
              </w:rPr>
              <w:t xml:space="preserve"> alla composizione della commissione giudicatrice e ai curricula dei suoi </w:t>
            </w:r>
            <w:proofErr w:type="spellStart"/>
            <w:r w:rsidR="00F2084C" w:rsidRPr="00F2084C">
              <w:rPr>
                <w:rFonts w:asciiTheme="minorHAnsi" w:hAnsiTheme="minorHAnsi" w:cstheme="minorHAnsi"/>
                <w:sz w:val="20"/>
              </w:rPr>
              <w:t>componenti,</w:t>
            </w:r>
            <w:r w:rsidRPr="00B90494">
              <w:rPr>
                <w:rFonts w:asciiTheme="minorHAnsi" w:hAnsiTheme="minorHAnsi" w:cstheme="minorHAnsi"/>
                <w:sz w:val="20"/>
              </w:rPr>
              <w:t>ove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</w:rPr>
              <w:t xml:space="preserve"> non considerati riservati ai sensi dell’art. 29, d. lgs. 50/2016;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4A661107" w14:textId="77777777" w:rsidR="00B41736" w:rsidRPr="001B4AA8" w:rsidRDefault="00B41736">
            <w:pPr>
              <w:tabs>
                <w:tab w:val="left" w:pos="49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8A80BE4" w14:textId="77777777" w:rsidR="00B41736" w:rsidRPr="001B4AA8" w:rsidRDefault="00B41736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Copia pubblicazione su GUUE e GURI</w:t>
            </w:r>
          </w:p>
          <w:p w14:paraId="71DCF534" w14:textId="77777777" w:rsidR="00B41736" w:rsidRPr="001B4AA8" w:rsidRDefault="00B41736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Copia delle pubblicazioni sui quotidiani</w:t>
            </w:r>
          </w:p>
          <w:p w14:paraId="5890D850" w14:textId="6827CB76" w:rsidR="00B06522" w:rsidRDefault="006A11CE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Copia delle pubblicazioni sulla </w:t>
            </w:r>
            <w:r w:rsidR="00165BB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>iattaforma ANAC di cui all'art. 73, comma 4, del codice</w:t>
            </w:r>
          </w:p>
          <w:p w14:paraId="47C74EAD" w14:textId="282E788A" w:rsidR="00D62727" w:rsidRPr="00D62727" w:rsidRDefault="00D62727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copia della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pbblicazione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sul profilo del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committente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42225FA" w14:textId="77777777" w:rsidR="00B41736" w:rsidRPr="001B4AA8" w:rsidRDefault="00B417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D17CD92" w14:textId="77777777" w:rsidR="00B41736" w:rsidRPr="001B4AA8" w:rsidRDefault="00B41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E48E0F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F482441" w14:textId="77777777" w:rsidR="00B41736" w:rsidRPr="00B90494" w:rsidRDefault="00B41736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Sono state effettuate le comunicazioni di cui all’art. 76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DA3BC04" w14:textId="77777777" w:rsidR="00B41736" w:rsidRPr="001B4AA8" w:rsidRDefault="00B417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70963C" w14:textId="77777777" w:rsidR="00B41736" w:rsidRPr="001B4AA8" w:rsidRDefault="00235745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c</w:t>
            </w:r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>omunicazioni nel quadro di un sistema dinamico di acquisizione sono effettuate esclusivamente con mezzi elettronici conformemente all'</w:t>
            </w:r>
            <w:hyperlink r:id="rId13" w:anchor="052" w:history="1">
              <w:r w:rsidR="00B06522" w:rsidRPr="00165BB7">
                <w:rPr>
                  <w:rFonts w:asciiTheme="minorHAnsi" w:hAnsiTheme="minorHAnsi" w:cstheme="minorHAnsi"/>
                  <w:sz w:val="20"/>
                  <w:szCs w:val="20"/>
                </w:rPr>
                <w:t>articolo 52, commi 1, 2, 3, 5, 6, 8 e 9</w:t>
              </w:r>
            </w:hyperlink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del </w:t>
            </w:r>
            <w:proofErr w:type="spellStart"/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="00B06522"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 50/2016</w:t>
            </w:r>
            <w:r w:rsidR="00B06522" w:rsidRPr="00165BB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34038CA" w14:textId="77777777" w:rsidR="00B41736" w:rsidRPr="001B4AA8" w:rsidRDefault="00B41736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CF71AD" w14:textId="77777777" w:rsidR="00B41736" w:rsidRPr="001B4AA8" w:rsidRDefault="00B41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1C1A848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EAA1B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periodo di vigenza del contratto è coerente rispetto alla tempistica indicata nel progetto?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4AE8C8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D131DF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  <w:p w14:paraId="48732375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4242B7B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A4B757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346EFFD9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05A4B77" w14:textId="511789AB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L'oggetto del contratto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coerente con quanto previsto nel Progetto approvato?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0DDEB5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25B4B9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  <w:p w14:paraId="0F92F76D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2AB863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F072C0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515F13E9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15A0858" w14:textId="78DAFB35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Il prezzo posto (comprensivo di IVA) del contratto 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risulta conforme a quanto determinato nel budget finanziario di progetto?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5FEC9A6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8AA930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Progetto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898601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AE6BFF7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5A219A98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78BBFCA" w14:textId="797441E8" w:rsidR="007D6412" w:rsidRPr="00B90494" w:rsidRDefault="007D6412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spesa relativa all’oggetto del contratto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affida</w:t>
            </w:r>
            <w:r w:rsidR="000D2A0E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rientra tra le tipologie ammissibili secondo la normativa comunitaria e nazionale?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4982AC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A26D59B" w14:textId="77777777" w:rsidR="007D6412" w:rsidRPr="001B4AA8" w:rsidRDefault="007D641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EDD5BF8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D1E2FEF" w14:textId="77777777" w:rsidR="007D6412" w:rsidRPr="001B4AA8" w:rsidRDefault="007D64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5A32" w:rsidRPr="001B4AA8" w14:paraId="3DBCCCD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B31124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contratto è stato firmato da soggetti con poteri di firma</w:t>
            </w:r>
            <w:r w:rsidR="0094518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54969C8F" w14:textId="3795D655" w:rsidR="00563AB8" w:rsidRPr="00B90494" w:rsidRDefault="006A11CE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stata verificata la sussistenza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dei poteri di firma in capo al soggetto della stazione appaltante?</w:t>
            </w:r>
          </w:p>
          <w:p w14:paraId="3100FC7B" w14:textId="77777777" w:rsidR="00563AB8" w:rsidRPr="00B90494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alla CCIAA o da altro documento si evince il potere di firma in capo all’operatore economico?</w:t>
            </w:r>
          </w:p>
          <w:p w14:paraId="0DE2CF0E" w14:textId="77777777" w:rsidR="00563AB8" w:rsidRPr="00B90494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stato sottoscritto digitalmente (dal 30 giugno 2014 per i contratti stipulati in forma pubblica amministrativa (atto pubblico e scrittura privata autenticata) e a far data dal 1° gennaio 2015 per i contratti stipulati mediante scrittura privata);</w:t>
            </w:r>
          </w:p>
          <w:p w14:paraId="512E13CB" w14:textId="77777777" w:rsidR="00563AB8" w:rsidRPr="00B90494" w:rsidDel="00F56E12" w:rsidRDefault="00060FBF" w:rsidP="00DD5CAE">
            <w:pPr>
              <w:pStyle w:val="Paragrafoelenco"/>
              <w:numPr>
                <w:ilvl w:val="0"/>
                <w:numId w:val="24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stata presentata comprova dell’esito 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positivo della firma digitale dei contraenti?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FBA2610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353336A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Procura;</w:t>
            </w:r>
          </w:p>
          <w:p w14:paraId="39E8503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Provvedimento di attribuzione dei poteri di firma;</w:t>
            </w:r>
          </w:p>
          <w:p w14:paraId="205AE8C3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Altro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A047F2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F4F737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72C326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F0A9E4F" w14:textId="77777777" w:rsidR="00563AB8" w:rsidRPr="00B90494" w:rsidDel="00F56E12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stata acquisita la dichiarazione della stazione appaltante con cui viene attestata la presenza/assenza di ricorsi avverso l’aggiudicazione?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5680681" w14:textId="77777777" w:rsidR="00563AB8" w:rsidRPr="001B4AA8" w:rsidRDefault="00563A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2CE597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Attestazione della stazione appaltante.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4B9C9F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C470E8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NB: In caso di ricorsi, specificarne la tipologia e lo stato del procedimento.</w:t>
            </w:r>
          </w:p>
        </w:tc>
      </w:tr>
      <w:tr w:rsidR="00D75A32" w:rsidRPr="001B4AA8" w14:paraId="44BD2020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963CC9" w14:textId="77777777" w:rsidR="00563AB8" w:rsidRPr="00B90494" w:rsidRDefault="0052379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Nel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contratto è stato precisato che il pagamento delle spese sostenute dal soggetto attuatore viene effettuato con risorse del Fondo di Rotazione del Ministero dell’Economia e delle Finanze, ex L. 183/87</w:t>
            </w:r>
            <w:r w:rsidR="00C00B6A">
              <w:rPr>
                <w:rFonts w:asciiTheme="minorHAnsi" w:hAnsiTheme="minorHAnsi" w:cstheme="minorHAnsi"/>
                <w:bCs/>
                <w:sz w:val="20"/>
                <w:szCs w:val="20"/>
              </w:rPr>
              <w:t>, subordinato all’esito positivo dei controlli effettuati dai competenti Uffici della Segreteria Tecnica Amministrativa dei Fondi Europei e Programmi Operativi nazionali?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FA6BAAB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A540F2F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D7487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F045852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A3135F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1AC364" w14:textId="01F770F6" w:rsidR="006A11CE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>Qualora il bando sia stato pubblicato  successivamente al 27/01/2022 o qualora gli inviti a presentare le offerte siano stati inviati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successivamente a tale data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nel contratto sono state inserite le </w:t>
            </w:r>
            <w:r w:rsidRPr="006A11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clausole di revisione dei prezzi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previste dall'articolo 106, comma 1, lettera a), primo periodo, </w:t>
            </w:r>
            <w:r w:rsidRPr="006A11CE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del d.lgs.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C6C3B8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4F555E" w14:textId="185155A5" w:rsidR="006A11CE" w:rsidRPr="001B4AA8" w:rsidRDefault="006A11CE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8AC3B9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2838278" w14:textId="77777777" w:rsidR="006A11CE" w:rsidRPr="001B4AA8" w:rsidRDefault="006A11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83FAB3E" w14:textId="77777777" w:rsidTr="00DD5CAE">
        <w:tblPrEx>
          <w:jc w:val="left"/>
        </w:tblPrEx>
        <w:trPr>
          <w:gridAfter w:val="1"/>
          <w:wAfter w:w="25" w:type="pct"/>
          <w:trHeight w:val="67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86396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contratto è stato specificato che la fattura, oltre agli elementi previsti dalla normativa di riferimento, dovrà riportare il numero del contratto, il CIG, il CUP, l’oggetto dell’attività prestata?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654ECB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30A59EA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F281E48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1E7373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D8FA5FA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D99204D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Nel contratto è stato previsto che lo stesso è sottoposto alla condizione sospensiva dell'esito positivo del </w:t>
            </w:r>
            <w:r w:rsidR="00235745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ontrollo della </w:t>
            </w:r>
            <w:proofErr w:type="gram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Corte dei Conti</w:t>
            </w:r>
            <w:proofErr w:type="gram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di cui all’art. 3, comma </w:t>
            </w:r>
            <w:r w:rsidR="00DC54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, lett. g) della Legge 14.1.1994, n. 20?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678E07C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48C13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2913C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E886FE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DC6B98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ADF2A48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contratto è stata inserita la clausola: “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Ai sensi del comma 4, art. 4 del DLGS 231/2002 e ss.mm.ii, le parti concordano di stabilire in 60</w:t>
            </w:r>
            <w:r w:rsidR="00C22A10"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gg il termine per i pagamenti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E65EA6A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6DED1AD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1ECCB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A04D6A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75A1696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BC8E1C3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Nel contratto è stato inserito, solo nel caso in cui sia stato concordato con l’Autorità Responsabile l’utilizzo del circuito finanziario che prevede il pagamento delle fatture del soggetto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attuatore direttamente da parte dell’Ufficio </w:t>
            </w:r>
            <w:r w:rsidR="000438F2">
              <w:rPr>
                <w:rFonts w:asciiTheme="minorHAnsi" w:hAnsiTheme="minorHAnsi" w:cstheme="minorHAnsi"/>
                <w:sz w:val="20"/>
                <w:szCs w:val="20"/>
              </w:rPr>
              <w:t xml:space="preserve">Economico Finanziario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della Segreteria Tecnica mediante la delegazione di pagamento</w:t>
            </w:r>
            <w:r w:rsidR="0023574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- “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Al pagamento delle spese sostenute dal soggetto attuatore è delegato il Ministero dell’Interno, per il tramite dell’Ufficio </w:t>
            </w:r>
            <w:r w:rsidR="000438F2" w:rsidRPr="000438F2">
              <w:rPr>
                <w:rFonts w:asciiTheme="minorHAnsi" w:hAnsiTheme="minorHAnsi" w:cstheme="minorHAnsi"/>
                <w:i/>
                <w:sz w:val="20"/>
                <w:szCs w:val="20"/>
              </w:rPr>
              <w:t>Economico Finanziario</w:t>
            </w:r>
            <w:r w:rsidR="000438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i/>
                <w:sz w:val="20"/>
                <w:szCs w:val="20"/>
              </w:rPr>
              <w:t>della Segreteria Tecnica Amministrativa per la gestione dei Fondi Europei e Programmi Operativi Nazionali.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489CEA1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C8D9B1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544806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D5BD729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38C4039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215867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Nei contratti di appalto, subappalto e in quelli stipulati con i subcontraenti della filiera delle imprese a qualsiasi titolo interessate è stata prevista:</w:t>
            </w:r>
          </w:p>
          <w:p w14:paraId="38492E13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un’apposita clausol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>a con la quale l’appaltatore si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assume gli obblighi di tracciabilità dei flussi finanziari dì cui alla legge 136/2010?</w:t>
            </w:r>
          </w:p>
          <w:p w14:paraId="6A7973C1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la clausola con la quale l’appaltatore, in caso di subappalto, si impegna a dare immediata comunicazione alla stazione appaltante ed alla Prefettura competente della notizia di inadempimento della propria controparte (subappaltatore/subcontraente) agli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obblighi di tracciabilità finanziaria?</w:t>
            </w:r>
          </w:p>
          <w:p w14:paraId="505A9FAF" w14:textId="77777777" w:rsidR="00563AB8" w:rsidRPr="00B90494" w:rsidRDefault="00563AB8" w:rsidP="00DD5CAE">
            <w:pPr>
              <w:pStyle w:val="Paragrafoelenco"/>
              <w:numPr>
                <w:ilvl w:val="0"/>
                <w:numId w:val="25"/>
              </w:numPr>
              <w:spacing w:before="120" w:after="120" w:line="276" w:lineRule="auto"/>
              <w:ind w:left="0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nell’ipotesi in cui l’appaltatore sia un RTI, la clausola con la quale la mandataria si impegna a rispettare nei pagamenti effettuati verso le mandanti le clausole di tracciabilità?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FACDDFB" w14:textId="77777777" w:rsidR="00563AB8" w:rsidRPr="001B4AA8" w:rsidRDefault="00563AB8">
            <w:pPr>
              <w:tabs>
                <w:tab w:val="left" w:pos="96"/>
                <w:tab w:val="left" w:pos="38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CCC51E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Contratto.</w:t>
            </w:r>
          </w:p>
          <w:p w14:paraId="7BB2EF0E" w14:textId="77777777" w:rsidR="00563AB8" w:rsidRPr="001B4AA8" w:rsidRDefault="00563A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A89E027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68F995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Si rammenta che comporta la nullità del contratto la mancata previsione della clausola con la quale l’appaltatore si assume gli obblighi di tracciabilità dei flussi finanziari dì cui alla legge 136/06.</w:t>
            </w:r>
          </w:p>
          <w:p w14:paraId="743B928E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C725217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CE1ACD3" w14:textId="77777777" w:rsidTr="00DD5CAE">
        <w:tblPrEx>
          <w:jc w:val="left"/>
        </w:tblPrEx>
        <w:trPr>
          <w:gridAfter w:val="1"/>
          <w:wAfter w:w="25" w:type="pct"/>
          <w:trHeight w:val="2601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CB6DE8" w14:textId="12AE90EE" w:rsidR="00F2084C" w:rsidRPr="00D869B9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>Per la corresponsione dell’anticipazione del prezzo della prestazione pari al 20% dell’importo stimato dell’appalto ai sensi dell’art. 35 comma 18, aumentabile sino al 30% per le procedure indette entro il 31 dicembre 2021, è stata costituita la garanzia fideiussoria bancaria o assicurativa di importo pari all'anticipazione maggiorato del tasso di interesse legale applicato al periodo necessario al recupero dell'anticipazione stessa secondo il cronoprogramma della prestazione?</w:t>
            </w:r>
            <w:r w:rsidR="00F2084C" w:rsidRPr="00B83A3D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1444F3F" w14:textId="77777777" w:rsidR="00F2084C" w:rsidRPr="001B4AA8" w:rsidRDefault="00F2084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A1084B" w14:textId="7956A9D6" w:rsidR="00F2084C" w:rsidRPr="001B4AA8" w:rsidRDefault="006A11CE" w:rsidP="00DD5CAE">
            <w:pPr>
              <w:pStyle w:val="Paragrafoelenco1"/>
              <w:numPr>
                <w:ilvl w:val="0"/>
                <w:numId w:val="9"/>
              </w:numPr>
              <w:spacing w:before="120" w:after="120"/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0C7E803" w14:textId="77777777" w:rsidR="00F2084C" w:rsidRPr="001B4AA8" w:rsidRDefault="00F2084C" w:rsidP="00DD5CA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1C6880" w14:textId="77777777" w:rsidR="00F2084C" w:rsidRPr="001B4AA8" w:rsidRDefault="00F2084C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06C138F2" w14:textId="77777777" w:rsidTr="00DD5CAE">
        <w:tblPrEx>
          <w:jc w:val="left"/>
        </w:tblPrEx>
        <w:trPr>
          <w:gridAfter w:val="1"/>
          <w:wAfter w:w="25" w:type="pct"/>
          <w:trHeight w:val="2601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8AFF41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La cauzione definitiva (fideiussione bancaria o assicurativa) a garanzia dell’esecuzione del contratto ai sensi dell’art. 103 del d.lgs. 50/2006:</w:t>
            </w:r>
          </w:p>
          <w:p w14:paraId="41338828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prevede espressamente la rinuncia al beneficio della preventiva escussione del debitore principale di cui all’art. 1944, del </w:t>
            </w:r>
            <w:proofErr w:type="gram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codice civile</w:t>
            </w:r>
            <w:proofErr w:type="gram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0FB4371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prevede la rinuncia all'eccezione di cui all'</w:t>
            </w:r>
            <w:hyperlink r:id="rId14" w:anchor="1957" w:history="1">
              <w:r w:rsidRPr="00B90494">
                <w:rPr>
                  <w:rFonts w:asciiTheme="minorHAnsi" w:hAnsiTheme="minorHAnsi" w:cstheme="minorHAnsi"/>
                  <w:sz w:val="20"/>
                  <w:szCs w:val="20"/>
                </w:rPr>
                <w:t xml:space="preserve">articolo 1957, comma 2, del </w:t>
              </w:r>
              <w:proofErr w:type="gramStart"/>
              <w:r w:rsidRPr="00B90494">
                <w:rPr>
                  <w:rFonts w:asciiTheme="minorHAnsi" w:hAnsiTheme="minorHAnsi" w:cstheme="minorHAnsi"/>
                  <w:sz w:val="20"/>
                  <w:szCs w:val="20"/>
                </w:rPr>
                <w:t>codice civile</w:t>
              </w:r>
              <w:proofErr w:type="gramEnd"/>
            </w:hyperlink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725728E1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prevede l'operatività della garanzia medesima entro quindici giorni, a semplice richiesta scritta della stazione appaltante?</w:t>
            </w:r>
          </w:p>
          <w:p w14:paraId="14C8300F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è costituita per un importo non inferiore a quanto indicato nell’art. 103 d.lgs. n. 50/2016?</w:t>
            </w:r>
          </w:p>
          <w:p w14:paraId="5EE86DB7" w14:textId="77777777" w:rsidR="00563AB8" w:rsidRPr="00B90494" w:rsidRDefault="00563AB8" w:rsidP="00DD5CAE">
            <w:pPr>
              <w:pStyle w:val="Paragrafoelenco"/>
              <w:numPr>
                <w:ilvl w:val="0"/>
                <w:numId w:val="26"/>
              </w:numPr>
              <w:spacing w:before="120" w:after="120" w:line="276" w:lineRule="auto"/>
              <w:ind w:left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è costituita per un importo ridotto, nel rispetto del possesso e delle certificazioni di qualità e alle relative regole sulla possibilità di cumulo, di cui all’art. 103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15C5DD26" w14:textId="77777777" w:rsidR="00563AB8" w:rsidRPr="001B4AA8" w:rsidRDefault="00563AB8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C1C236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spacing w:before="120" w:after="120"/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Fideiussione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446F6E" w14:textId="77777777" w:rsidR="00563AB8" w:rsidRPr="001B4AA8" w:rsidRDefault="00563AB8" w:rsidP="00DD5CA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739252" w14:textId="77777777" w:rsidR="00563AB8" w:rsidRPr="001B4AA8" w:rsidRDefault="00563AB8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51EEEE0D" w14:textId="77777777" w:rsidTr="00DD5CAE">
        <w:tblPrEx>
          <w:jc w:val="left"/>
        </w:tblPrEx>
        <w:trPr>
          <w:gridAfter w:val="1"/>
          <w:wAfter w:w="25" w:type="pct"/>
          <w:trHeight w:val="251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B257A2" w14:textId="77777777" w:rsidR="00563AB8" w:rsidRPr="00B90494" w:rsidRDefault="00563AB8" w:rsidP="00DD5CAE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Nel caso di appalti aventi ad oggetto servizi attinenti all’architettura ed all’ingegneria il progettista è munito al momento della sottoscrizione del contratto di appalto, della polizza di  responsabilità civile professionale ai sensi di quanto previsto dalla Linea Guida ANAC?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DD8B2C5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D4F365C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Contratto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2E55EEE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77C5E0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04606081" w14:textId="77777777" w:rsidTr="00DD5CAE">
        <w:tblPrEx>
          <w:jc w:val="left"/>
        </w:tblPrEx>
        <w:trPr>
          <w:gridAfter w:val="1"/>
          <w:wAfter w:w="25" w:type="pct"/>
          <w:trHeight w:val="175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62F5418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Il contratto di appalto di importo superiore a 150 mila euro è stato stipulato dopo aver acquisito:</w:t>
            </w:r>
          </w:p>
          <w:p w14:paraId="70BA01B8" w14:textId="77777777" w:rsidR="00563AB8" w:rsidRPr="00B90494" w:rsidRDefault="00563AB8" w:rsidP="00DD5CAE">
            <w:pPr>
              <w:pStyle w:val="Paragrafoelenco"/>
              <w:numPr>
                <w:ilvl w:val="0"/>
                <w:numId w:val="29"/>
              </w:numPr>
              <w:spacing w:before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la comunicazio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>ne antimafia di cui all’art. 84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e 87 tramite la  banca dati nazionale unica</w:t>
            </w:r>
          </w:p>
          <w:p w14:paraId="2AE0EA5A" w14:textId="77777777" w:rsidR="00563AB8" w:rsidRPr="00B90494" w:rsidRDefault="00015874" w:rsidP="00DD5CAE">
            <w:pPr>
              <w:pStyle w:val="Paragrafoelenco"/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ppure</w:t>
            </w:r>
          </w:p>
          <w:p w14:paraId="118B57F0" w14:textId="77777777" w:rsidR="00563AB8" w:rsidRPr="00B90494" w:rsidRDefault="00563AB8" w:rsidP="00DD5CAE">
            <w:pPr>
              <w:pStyle w:val="Paragrafoelenco"/>
              <w:numPr>
                <w:ilvl w:val="0"/>
                <w:numId w:val="29"/>
              </w:numPr>
              <w:spacing w:before="120" w:line="276" w:lineRule="auto"/>
              <w:ind w:left="0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in caso d’urgenza</w:t>
            </w:r>
            <w:r w:rsidR="00B90494">
              <w:rPr>
                <w:rFonts w:asciiTheme="minorHAnsi" w:hAnsiTheme="minorHAnsi" w:cstheme="minorHAnsi"/>
                <w:sz w:val="20"/>
                <w:szCs w:val="20"/>
              </w:rPr>
              <w:t xml:space="preserve"> congruamente motivata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, l’autocertificazione con la quale l'interessato attesti che nei propri confronti non sussistono le cause di divieto, di decadenza o di sospensione di cui all'articolo 67 del </w:t>
            </w:r>
            <w:proofErr w:type="spellStart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D.lgs</w:t>
            </w:r>
            <w:proofErr w:type="spellEnd"/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159/2011</w:t>
            </w:r>
            <w:r w:rsidR="00B9049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9B9527A" w14:textId="77777777" w:rsidR="00563AB8" w:rsidRPr="001B4AA8" w:rsidRDefault="00563A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59DE651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Comunicazione antimafia</w:t>
            </w:r>
          </w:p>
          <w:p w14:paraId="55997CA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Autocertificazione</w:t>
            </w:r>
          </w:p>
          <w:p w14:paraId="7C4FFA97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Dichiarazione d’urgenza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34D7096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CE4FC89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La motivazione deve consistere nella enunciazione dei presupposti di fatto e dei motivi di diritto su cui si fonda il provvedimento, in relazione alle risultanze dell'istruttoria.</w:t>
            </w:r>
          </w:p>
          <w:p w14:paraId="27B91001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1A7B023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In particolare</w:t>
            </w:r>
            <w:proofErr w:type="gramEnd"/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la motivazione deve evidenziare i fatti permissivi o costitutivi il cui verificarsi consente l’adozione del provvedimento nonché la valutazione e il contemperamento degli interessi, primari e secondari, coinvolti nel procedimento.</w:t>
            </w:r>
          </w:p>
          <w:p w14:paraId="191CE3EB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Deve pertanto permettere la ricostruzione  dell'iter logico-giuridico che ha presieduto e condotto al provvedimento medesimo.</w:t>
            </w:r>
          </w:p>
        </w:tc>
      </w:tr>
      <w:tr w:rsidR="00D75A32" w:rsidRPr="001B4AA8" w14:paraId="6784714C" w14:textId="77777777" w:rsidTr="00DD5CAE">
        <w:tblPrEx>
          <w:jc w:val="left"/>
        </w:tblPrEx>
        <w:trPr>
          <w:gridAfter w:val="1"/>
          <w:wAfter w:w="25" w:type="pct"/>
          <w:trHeight w:val="347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062E156" w14:textId="77777777" w:rsidR="00AB584C" w:rsidRPr="00B90494" w:rsidRDefault="00AB584C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Il contratto di appalto di importo pari o superiore alle soglie comunitarie di cui all’art. </w:t>
            </w:r>
            <w:r w:rsidR="00C22A10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35 del D.lgs.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50/2016 è stato stipulato:</w:t>
            </w:r>
          </w:p>
          <w:p w14:paraId="6C6B5F5E" w14:textId="77777777" w:rsidR="00AB584C" w:rsidRDefault="00015874" w:rsidP="00DD5CAE">
            <w:pPr>
              <w:pStyle w:val="Paragrafoelenco"/>
              <w:numPr>
                <w:ilvl w:val="0"/>
                <w:numId w:val="30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AB584C" w:rsidRPr="00B90494">
              <w:rPr>
                <w:rFonts w:asciiTheme="minorHAnsi" w:hAnsiTheme="minorHAnsi" w:cstheme="minorHAnsi"/>
                <w:sz w:val="20"/>
                <w:szCs w:val="20"/>
              </w:rPr>
              <w:t>opo aver acquisito l’informativa antimafia di cui agli artt. 84, comma 3, 90 e 91, d.lgs. n. 159/2011</w:t>
            </w:r>
            <w:r w:rsidR="006D16B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584C" w:rsidRPr="00B90494">
              <w:rPr>
                <w:rFonts w:asciiTheme="minorHAnsi" w:hAnsiTheme="minorHAnsi" w:cstheme="minorHAnsi"/>
                <w:sz w:val="20"/>
                <w:szCs w:val="20"/>
              </w:rPr>
              <w:t>tramite la banca dati nazionale unica?</w:t>
            </w:r>
          </w:p>
          <w:p w14:paraId="6E368768" w14:textId="77777777" w:rsidR="00AB584C" w:rsidRPr="00B90494" w:rsidRDefault="00B90494" w:rsidP="00DD5CAE">
            <w:pPr>
              <w:pStyle w:val="Paragrafoelenco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oppure</w:t>
            </w:r>
          </w:p>
          <w:p w14:paraId="3CF580C4" w14:textId="77777777" w:rsidR="00235745" w:rsidRDefault="00235745" w:rsidP="00DD5CAE">
            <w:pPr>
              <w:pStyle w:val="Paragrafoelenco"/>
              <w:numPr>
                <w:ilvl w:val="0"/>
                <w:numId w:val="30"/>
              </w:numPr>
              <w:spacing w:before="120" w:after="120" w:line="276" w:lineRule="auto"/>
              <w:ind w:left="0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nei casi di cui all’art. 92, comma 3 del </w:t>
            </w:r>
            <w:proofErr w:type="spellStart"/>
            <w:r w:rsidRPr="00776FE7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 n. 159 del 2011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(decorso del termine di cui all’articolo 92, comma 2 o in caso di urgenza) </w:t>
            </w: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3159ACE8" w14:textId="77777777" w:rsidR="00235745" w:rsidRDefault="00235745" w:rsidP="00DD5CAE">
            <w:pPr>
              <w:pStyle w:val="Paragrafoelenco"/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b.1) </w:t>
            </w:r>
            <w:r w:rsidRPr="00776FE7">
              <w:rPr>
                <w:rFonts w:asciiTheme="minorHAnsi" w:hAnsiTheme="minorHAnsi" w:cstheme="minorHAnsi"/>
                <w:sz w:val="20"/>
                <w:szCs w:val="20"/>
              </w:rPr>
              <w:t>sotto condizione risolutiva?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84B019E" w14:textId="77777777" w:rsidR="00AB584C" w:rsidRPr="00B90494" w:rsidRDefault="00235745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b.2) I</w:t>
            </w:r>
            <w:r w:rsidRPr="00C42E0C">
              <w:rPr>
                <w:rFonts w:asciiTheme="minorHAnsi" w:hAnsiTheme="minorHAnsi" w:cstheme="minorHAnsi"/>
                <w:sz w:val="20"/>
                <w:szCs w:val="20"/>
              </w:rPr>
              <w:t>n caso di urgenza, è presente una congrua motivazione circa le ragioni d’urgenza?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89F339" w14:textId="77777777" w:rsidR="00AB584C" w:rsidRPr="001B4AA8" w:rsidRDefault="00AB584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44AFF7" w14:textId="77777777" w:rsidR="00AB584C" w:rsidRPr="001B4AA8" w:rsidRDefault="00AB584C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011F83E8" w14:textId="77777777" w:rsidR="00AB584C" w:rsidRPr="001B4AA8" w:rsidRDefault="00AB584C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1140159" w14:textId="77777777" w:rsidR="00AB584C" w:rsidRPr="001B4AA8" w:rsidRDefault="00AB584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128A2A6D" w14:textId="77777777" w:rsidTr="00DD5CAE">
        <w:tblPrEx>
          <w:jc w:val="left"/>
        </w:tblPrEx>
        <w:trPr>
          <w:gridAfter w:val="1"/>
          <w:wAfter w:w="25" w:type="pct"/>
          <w:trHeight w:val="347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C2BED3" w14:textId="77777777" w:rsidR="006A11CE" w:rsidRDefault="006A11CE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Per le procedure indette dal 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>17 luglio 2020 al 30 giugno 2023, il contratto è stato stipulato sotto condizione risolutiva a seguito del rilascio dell’</w:t>
            </w:r>
            <w:r w:rsidRPr="006A11C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informativa liberatoria provvisoria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t xml:space="preserve">, di cui all’articolo 3, commi 1 e 2 del D.L. 76/2020, ottenuta mediante la consultazione della banca </w:t>
            </w:r>
            <w:r w:rsidRPr="006A11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dati nazionale unica della documentazione antimafia o tramite l’immediata acquisizione degli esiti delle interrogazioni di tutte le ulteriori banche dati disponibili, secondo quanto disposto dall’art. 3, comma 3 del D.L. 76/2020?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2133950" w14:textId="24763457" w:rsidR="006A11CE" w:rsidRPr="00B90494" w:rsidRDefault="006A11CE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68AACCB" w14:textId="77777777" w:rsidR="006A11CE" w:rsidRPr="001B4AA8" w:rsidRDefault="006A11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113D5F7" w14:textId="77777777" w:rsidR="006A11CE" w:rsidRPr="001B4AA8" w:rsidRDefault="006A11CE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10445FD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BFDCC0F" w14:textId="77777777" w:rsidR="006A11CE" w:rsidRPr="001B4AA8" w:rsidRDefault="006A11C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5C74746E" w14:textId="77777777" w:rsidTr="00DD5CAE">
        <w:tblPrEx>
          <w:jc w:val="left"/>
        </w:tblPrEx>
        <w:trPr>
          <w:gridAfter w:val="1"/>
          <w:wAfter w:w="25" w:type="pct"/>
          <w:trHeight w:val="1892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EFB5E44" w14:textId="77777777" w:rsidR="006D16B9" w:rsidRPr="00971472" w:rsidRDefault="006D16B9" w:rsidP="00DD5CAE">
            <w:pPr>
              <w:pStyle w:val="Paragrafoelenco"/>
              <w:numPr>
                <w:ilvl w:val="0"/>
                <w:numId w:val="3"/>
              </w:numPr>
              <w:spacing w:before="120" w:after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er l’autorizzazione di subcontratti concernenti la realizzazione di opere, di servizi forniture di importo superiore a €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150.000 è stata acquisita l’informativa antimafia di cui agli artt. 84, comma 3, 90 e 91, d.lgs. n. 159/2011 tramite la banca dati nazionale unica?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5C3D34" w14:textId="77777777" w:rsidR="006D16B9" w:rsidRPr="001B4AA8" w:rsidRDefault="006D16B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9A4E050" w14:textId="77777777" w:rsidR="006D16B9" w:rsidRPr="001B4AA8" w:rsidRDefault="006D16B9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Informativa antimafia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353E309C" w14:textId="77777777" w:rsidR="006D16B9" w:rsidRPr="001B4AA8" w:rsidRDefault="006D16B9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2DDB9874" w14:textId="77777777" w:rsidR="006D16B9" w:rsidRPr="001B4AA8" w:rsidRDefault="006D16B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D9AFA57" w14:textId="77777777" w:rsidTr="00DD5CAE">
        <w:tblPrEx>
          <w:jc w:val="left"/>
        </w:tblPrEx>
        <w:trPr>
          <w:gridAfter w:val="1"/>
          <w:wAfter w:w="25" w:type="pct"/>
          <w:trHeight w:val="3328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A37514" w14:textId="77777777" w:rsidR="00C84779" w:rsidRPr="00B90494" w:rsidRDefault="00C84779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caso il contratto d’appalto contenga la clausola compromissoria ai sensi dell’art. 209 del D. Lgs. n. 50/2016:</w:t>
            </w:r>
          </w:p>
          <w:p w14:paraId="6BCF674A" w14:textId="77777777" w:rsidR="00C84779" w:rsidRPr="00B90494" w:rsidRDefault="00060FBF" w:rsidP="00DD5CAE">
            <w:pPr>
              <w:pStyle w:val="Paragrafoelenco1"/>
              <w:numPr>
                <w:ilvl w:val="0"/>
                <w:numId w:val="5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C84779" w:rsidRPr="00B90494">
              <w:rPr>
                <w:rFonts w:asciiTheme="minorHAnsi" w:hAnsiTheme="minorHAnsi" w:cstheme="minorHAnsi"/>
                <w:sz w:val="20"/>
                <w:szCs w:val="20"/>
              </w:rPr>
              <w:t>’inserimento della stessa è stata autorizzata dall’organo competente della Stazione appaltante;</w:t>
            </w:r>
          </w:p>
          <w:p w14:paraId="0EBA78CC" w14:textId="77777777" w:rsidR="00C84779" w:rsidRPr="00B90494" w:rsidRDefault="00060FBF" w:rsidP="00DD5CAE">
            <w:pPr>
              <w:pStyle w:val="Paragrafoelenco1"/>
              <w:numPr>
                <w:ilvl w:val="0"/>
                <w:numId w:val="5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C84779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’inserimento della stessa è stato previsto nel bando o nell’invito 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2B8E7C7" w14:textId="77777777" w:rsidR="00C84779" w:rsidRPr="001B4AA8" w:rsidRDefault="00C8477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AA08394" w14:textId="77777777" w:rsidR="00C84779" w:rsidRPr="001B4AA8" w:rsidRDefault="00C84779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6AE486C6" w14:textId="77777777" w:rsidR="00C84779" w:rsidRPr="001B4AA8" w:rsidRDefault="00C84779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5C135B1B" w14:textId="77777777" w:rsidR="00C84779" w:rsidRPr="001B4AA8" w:rsidRDefault="00C8477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43B696E1" w14:textId="77777777" w:rsidTr="00DD5CAE">
        <w:tblPrEx>
          <w:jc w:val="left"/>
        </w:tblPrEx>
        <w:trPr>
          <w:gridAfter w:val="1"/>
          <w:wAfter w:w="25" w:type="pct"/>
          <w:trHeight w:val="118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D82CC25" w14:textId="77777777" w:rsidR="00563AB8" w:rsidRPr="00B90494" w:rsidRDefault="00060FBF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 Stazione Appaltante ha verificato la documentazione comprovante il possesso dei requisiti di carattere generale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 xml:space="preserve"> di cui all’art. 80 </w:t>
            </w:r>
            <w:r w:rsidR="005A492C" w:rsidRPr="00B90494">
              <w:rPr>
                <w:rFonts w:asciiTheme="minorHAnsi" w:hAnsiTheme="minorHAnsi" w:cstheme="minorHAnsi"/>
                <w:sz w:val="20"/>
                <w:szCs w:val="20"/>
              </w:rPr>
              <w:t>del D. Lgs. n. 50/2016</w:t>
            </w:r>
            <w:r w:rsidR="005A492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, tecnico-professionale ed economico e finanziario, per la partecipazione alla procedura attraverso la Banca dati centralizzata gestita dal Ministero delle infrastrutture e dei trasporti, denominata Banca dati nazionale degli operatori economici ai sensi dell’art. 81 del </w:t>
            </w:r>
            <w:proofErr w:type="spellStart"/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DDEA10D" w14:textId="77777777" w:rsidR="00563AB8" w:rsidRPr="001B4AA8" w:rsidRDefault="00563AB8" w:rsidP="00DD5CAE">
            <w:pPr>
              <w:pStyle w:val="Paragrafoelenco"/>
              <w:tabs>
                <w:tab w:val="left" w:pos="318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D54211" w14:textId="77777777" w:rsidR="00563AB8" w:rsidRPr="001B4AA8" w:rsidRDefault="00563AB8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05477EB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3894206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Fino alla data di entrata in vigore del decreto di cui al presente comma, si applica l'articolo 216, comma 13.</w:t>
            </w:r>
          </w:p>
        </w:tc>
      </w:tr>
      <w:tr w:rsidR="00D75A32" w:rsidRPr="001B4AA8" w14:paraId="5E777B15" w14:textId="77777777" w:rsidTr="00DD5CAE">
        <w:tblPrEx>
          <w:jc w:val="left"/>
        </w:tblPrEx>
        <w:trPr>
          <w:gridAfter w:val="1"/>
          <w:wAfter w:w="25" w:type="pct"/>
          <w:trHeight w:val="1183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176603" w14:textId="77777777" w:rsidR="006A11CE" w:rsidRPr="00D35ECC" w:rsidRDefault="006A11CE" w:rsidP="00DD5CAE">
            <w:pPr>
              <w:pStyle w:val="Paragrafoelenco"/>
              <w:numPr>
                <w:ilvl w:val="0"/>
                <w:numId w:val="3"/>
              </w:numPr>
              <w:spacing w:before="24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decorrere dal 1° giugno 2021, </w:t>
            </w:r>
            <w:r w:rsidRPr="00D35ECC">
              <w:rPr>
                <w:rFonts w:asciiTheme="minorHAnsi" w:hAnsiTheme="minorHAnsi" w:cstheme="minorHAnsi"/>
                <w:sz w:val="20"/>
                <w:szCs w:val="20"/>
              </w:rPr>
              <w:t>la Stazione Appaltante ha verificato il possesso dei requisiti di carattere generale, tecnico-professionale ed economico e finanziario degli operatori economici utilizzando la Banca dati nazionale dei contratti pubblici gestita dall’ANAC?</w:t>
            </w:r>
          </w:p>
          <w:p w14:paraId="10657119" w14:textId="4DB1644B" w:rsidR="006A11CE" w:rsidRDefault="006A11CE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B09849" w14:textId="77777777" w:rsidR="006A11CE" w:rsidRPr="001B4AA8" w:rsidRDefault="006A11CE" w:rsidP="00DD5CAE">
            <w:pPr>
              <w:pStyle w:val="Paragrafoelenco"/>
              <w:tabs>
                <w:tab w:val="left" w:pos="318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7CEF7F1" w14:textId="77777777" w:rsidR="006A11CE" w:rsidRPr="001B4AA8" w:rsidRDefault="006A11CE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0AC712" w14:textId="77777777" w:rsidR="006A11CE" w:rsidRPr="001B4AA8" w:rsidRDefault="006A11CE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83D461" w14:textId="77777777" w:rsidR="006A11CE" w:rsidRPr="001B4AA8" w:rsidRDefault="006A11C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602B3A3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EC70024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Nel caso l’aggiudicatario sia:</w:t>
            </w:r>
          </w:p>
          <w:p w14:paraId="435D4D14" w14:textId="77777777" w:rsidR="00563AB8" w:rsidRPr="00B90494" w:rsidRDefault="00563AB8" w:rsidP="00DD5CAE">
            <w:pPr>
              <w:pStyle w:val="Paragrafoelenco1"/>
              <w:numPr>
                <w:ilvl w:val="0"/>
                <w:numId w:val="32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un raggruppamento temporaneo di imprese o di professionisti, gli operatori economici hanno conferito, prima della </w:t>
            </w:r>
            <w:r w:rsidRPr="00B904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stipula del contratto di appalto:</w:t>
            </w:r>
          </w:p>
          <w:p w14:paraId="6D62D699" w14:textId="77777777" w:rsidR="00563AB8" w:rsidRPr="00B90494" w:rsidRDefault="00563AB8" w:rsidP="00DD5CAE">
            <w:pPr>
              <w:pStyle w:val="Paragrafoelenco1"/>
              <w:numPr>
                <w:ilvl w:val="0"/>
                <w:numId w:val="31"/>
              </w:numPr>
              <w:spacing w:before="120" w:line="276" w:lineRule="auto"/>
              <w:ind w:left="0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con un unico atto, mandato collettivo speciale con rappresentanza ad uno di essi, mediante scrittura privata autenticata?</w:t>
            </w:r>
          </w:p>
          <w:p w14:paraId="03CF9FBA" w14:textId="77777777" w:rsidR="00563AB8" w:rsidRPr="00B90494" w:rsidRDefault="00563AB8" w:rsidP="00DD5CAE">
            <w:pPr>
              <w:pStyle w:val="Paragrafoelenco1"/>
              <w:numPr>
                <w:ilvl w:val="0"/>
                <w:numId w:val="31"/>
              </w:numPr>
              <w:spacing w:before="120" w:line="276" w:lineRule="auto"/>
              <w:ind w:left="0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 xml:space="preserve">il mandato nel quale è espressamente previsto il rispetto degli obblighi di tracciabilità di cui alla l. 136/2010  nei pagamenti effettuati verso i membri del </w:t>
            </w:r>
          </w:p>
          <w:p w14:paraId="4F2F44A9" w14:textId="77777777" w:rsidR="00563AB8" w:rsidRPr="00B90494" w:rsidRDefault="00563AB8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raggruppamento medesimo?</w:t>
            </w:r>
          </w:p>
          <w:p w14:paraId="6369FA08" w14:textId="77777777" w:rsidR="00563AB8" w:rsidRPr="00B90494" w:rsidRDefault="00563AB8" w:rsidP="00DD5CAE">
            <w:pPr>
              <w:pStyle w:val="Paragrafoelenco1"/>
              <w:numPr>
                <w:ilvl w:val="0"/>
                <w:numId w:val="32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un Consorzio Stabile (ex art. 45, d.lgs. 50/2016), è stata verificata nella delibera che ci sia l’obbligo dei consorziati di operare in maniera congiunta per almeno 5 anni?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</w:tcPr>
          <w:p w14:paraId="73AA01A9" w14:textId="77777777" w:rsidR="00563AB8" w:rsidRPr="001B4AA8" w:rsidRDefault="00563AB8">
            <w:pPr>
              <w:tabs>
                <w:tab w:val="left" w:pos="31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0E9ACB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Atto costitutivo RTI</w:t>
            </w:r>
          </w:p>
          <w:p w14:paraId="375534E3" w14:textId="77777777" w:rsidR="00563AB8" w:rsidRPr="001B4AA8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>Delibera dei consorziati ad operare in maniera congiunta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DACBD2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CA0B96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A00C2EE" w14:textId="77777777" w:rsidTr="00DD5CAE">
        <w:tblPrEx>
          <w:jc w:val="left"/>
        </w:tblPrEx>
        <w:trPr>
          <w:gridAfter w:val="1"/>
          <w:wAfter w:w="25" w:type="pct"/>
          <w:trHeight w:val="2772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65C0DF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Per l’aggiudicazione e stipula del contratto, sono stati acquisiti dal Beneficiario i seguenti certificati:</w:t>
            </w:r>
          </w:p>
          <w:p w14:paraId="5BA52A3D" w14:textId="77777777" w:rsidR="00563AB8" w:rsidRPr="00B90494" w:rsidRDefault="00EE69A3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visura</w:t>
            </w:r>
            <w:r w:rsidR="00B14262">
              <w:rPr>
                <w:rFonts w:asciiTheme="minorHAnsi" w:hAnsiTheme="minorHAnsi" w:cstheme="minorHAnsi"/>
                <w:sz w:val="20"/>
                <w:szCs w:val="20"/>
              </w:rPr>
              <w:t xml:space="preserve"> della </w:t>
            </w:r>
            <w:r w:rsidR="00060FB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amera di Commercio Industria e Artigianato;</w:t>
            </w:r>
          </w:p>
          <w:p w14:paraId="6A52507B" w14:textId="77777777" w:rsidR="00563AB8" w:rsidRDefault="00060FBF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63AB8" w:rsidRPr="00B90494">
              <w:rPr>
                <w:rFonts w:asciiTheme="minorHAnsi" w:hAnsiTheme="minorHAnsi" w:cstheme="minorHAnsi"/>
                <w:sz w:val="20"/>
                <w:szCs w:val="20"/>
              </w:rPr>
              <w:t>asellario giudiziale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2E67538" w14:textId="77777777" w:rsidR="00F21E29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4262">
              <w:rPr>
                <w:rFonts w:asciiTheme="minorHAnsi" w:hAnsiTheme="minorHAnsi" w:cstheme="minorHAnsi"/>
                <w:sz w:val="20"/>
                <w:szCs w:val="20"/>
              </w:rPr>
              <w:t xml:space="preserve">Casellario Informatico di cui all’art. 213, comma 10, del </w:t>
            </w:r>
            <w:proofErr w:type="spellStart"/>
            <w:r w:rsidRPr="00B14262">
              <w:rPr>
                <w:rFonts w:asciiTheme="minorHAnsi" w:hAnsiTheme="minorHAnsi" w:cstheme="minorHAnsi"/>
                <w:sz w:val="20"/>
                <w:szCs w:val="20"/>
              </w:rPr>
              <w:t>D.Lgs.</w:t>
            </w:r>
            <w:proofErr w:type="spellEnd"/>
            <w:r w:rsidRPr="00B14262">
              <w:rPr>
                <w:rFonts w:asciiTheme="minorHAnsi" w:hAnsiTheme="minorHAnsi" w:cstheme="minorHAnsi"/>
                <w:sz w:val="20"/>
                <w:szCs w:val="20"/>
              </w:rPr>
              <w:t xml:space="preserve"> n. 50/2016 gestito da ANAC (Annotazioni riservate).</w:t>
            </w:r>
          </w:p>
          <w:p w14:paraId="0E2BCCD3" w14:textId="79AAD6C5" w:rsidR="00060FBF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5B3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</w:t>
            </w:r>
            <w:r w:rsidR="00350BF2" w:rsidRPr="00935B31">
              <w:rPr>
                <w:rFonts w:asciiTheme="minorHAnsi" w:hAnsiTheme="minorHAnsi" w:cstheme="minorHAnsi"/>
                <w:sz w:val="20"/>
                <w:szCs w:val="20"/>
              </w:rPr>
              <w:t xml:space="preserve">certificato dell’anagrafe 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>delle sanzioni amministrative dipendenti da reato</w:t>
            </w:r>
            <w:r w:rsidR="00A34177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="00350B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5D6849" w14:textId="77777777" w:rsidR="00B14262" w:rsidRPr="00971472" w:rsidRDefault="00B14262" w:rsidP="00DD5CAE">
            <w:pPr>
              <w:pStyle w:val="Paragrafoelenco"/>
              <w:numPr>
                <w:ilvl w:val="0"/>
                <w:numId w:val="3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5B31">
              <w:rPr>
                <w:rFonts w:asciiTheme="minorHAnsi" w:hAnsiTheme="minorHAnsi" w:cstheme="minorHAnsi"/>
                <w:sz w:val="20"/>
                <w:szCs w:val="20"/>
              </w:rPr>
              <w:t xml:space="preserve">certificato </w:t>
            </w:r>
            <w:r w:rsidR="00EE69A3" w:rsidRPr="00935B31">
              <w:rPr>
                <w:rFonts w:asciiTheme="minorHAnsi" w:hAnsiTheme="minorHAnsi" w:cstheme="minorHAnsi"/>
                <w:sz w:val="20"/>
                <w:szCs w:val="20"/>
              </w:rPr>
              <w:t>di ottemperanza alla normativa per il diritto al lavoro dei disabili;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77683C0" w14:textId="77777777" w:rsidR="00563AB8" w:rsidRPr="001B4AA8" w:rsidRDefault="00563AB8" w:rsidP="00DD5CAE">
            <w:pPr>
              <w:pStyle w:val="Paragrafoelenc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8A91E50" w14:textId="77777777" w:rsidR="00563AB8" w:rsidRPr="001B4AA8" w:rsidRDefault="00563AB8" w:rsidP="00DD5CAE">
            <w:pPr>
              <w:pStyle w:val="Paragrafoelenco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FCBA6D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C88DFDB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D75A32" w:rsidRPr="001B4AA8" w14:paraId="29774754" w14:textId="77777777" w:rsidTr="00DD5CAE">
        <w:tblPrEx>
          <w:jc w:val="left"/>
        </w:tblPrEx>
        <w:trPr>
          <w:gridAfter w:val="1"/>
          <w:wAfter w:w="25" w:type="pct"/>
          <w:trHeight w:val="1560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A42ED5D" w14:textId="77777777" w:rsidR="00563AB8" w:rsidRPr="00B90494" w:rsidRDefault="00563AB8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90494">
              <w:rPr>
                <w:rFonts w:asciiTheme="minorHAnsi" w:hAnsiTheme="minorHAnsi" w:cstheme="minorHAnsi"/>
                <w:sz w:val="20"/>
                <w:szCs w:val="20"/>
              </w:rPr>
              <w:t>Per l’aggiudicazione e stipula del contratto è stato acquisito il DURC o eventuale autocertificazione per affidamenti fino a 20.000 euro?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498FEDF" w14:textId="77777777" w:rsidR="00563AB8" w:rsidRPr="001B4AA8" w:rsidRDefault="00563AB8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76950B" w14:textId="77777777" w:rsidR="00563AB8" w:rsidRPr="00037239" w:rsidRDefault="00563AB8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DURC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408D5A" w14:textId="77777777" w:rsidR="00563AB8" w:rsidRPr="001B4AA8" w:rsidRDefault="00563A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37BA50A" w14:textId="77777777" w:rsidR="00563AB8" w:rsidRPr="001B4AA8" w:rsidRDefault="00563AB8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NB: Ha una validità di 120 giorni. Non è necessario in caso di adesione a convenzioni CONSIP.</w:t>
            </w:r>
          </w:p>
        </w:tc>
      </w:tr>
      <w:tr w:rsidR="00D75A32" w:rsidRPr="001B4AA8" w14:paraId="5DA2418F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FF81B0F" w14:textId="77777777" w:rsidR="00B06522" w:rsidRPr="00B90494" w:rsidRDefault="00B7793C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È stato verificato se sussistano, ai sensi dell’articolo 80, comma 4 del Dlgs. n. 50/2016 gravi violazioni che comportano un omesso pagamento di imposte e tasse superiore all'importo di cui all'articolo 48-bis, commi 1 e 2-bis, del decreto del Presidente della Repubblica 29 settembre 1973, n. 602?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C32FB78" w14:textId="77777777" w:rsidR="00B06522" w:rsidRPr="001B4AA8" w:rsidRDefault="00B06522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AE60F72" w14:textId="77777777" w:rsidR="00B06522" w:rsidRDefault="00B06522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Certificato dell’agenzia dell’entrate </w:t>
            </w:r>
          </w:p>
          <w:p w14:paraId="46EB74FC" w14:textId="77777777" w:rsidR="00A3444B" w:rsidRPr="001B4AA8" w:rsidRDefault="00A3444B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altro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F3C8F4" w14:textId="77777777" w:rsidR="00B06522" w:rsidRPr="001B4AA8" w:rsidRDefault="00B065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711794" w14:textId="77777777" w:rsidR="00B06522" w:rsidRPr="001B4AA8" w:rsidRDefault="00B06522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B4AA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>precisa che l’importo di cui al citato articolo 48 bis</w:t>
            </w:r>
            <w:r w:rsidRPr="001B4AA8">
              <w:rPr>
                <w:rFonts w:asciiTheme="minorHAnsi" w:hAnsiTheme="minorHAnsi" w:cstheme="minorHAnsi"/>
              </w:rPr>
              <w:t xml:space="preserve">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commi 1 e 2-bis, del decreto del Presidente della Repubblica 29 settembre 1973, n. 602.  è pari ad euro 10.000,00 e dal 01/03/2018 ai sensi dell’articolo 1, commi 986 e 988 della legge 27/12/2017, n. 205, è pari a € 5.000,00. Costituiscono violazioni definitivamente accertate quelle contenute in sentenze o atti amministrativi non più soggetti </w:t>
            </w:r>
            <w:r w:rsidRPr="001B4AA8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ad impugnazione(</w:t>
            </w:r>
          </w:p>
        </w:tc>
      </w:tr>
      <w:tr w:rsidR="00D75A32" w:rsidRPr="001B4AA8" w14:paraId="49EA783E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53C6894" w14:textId="610B25EE" w:rsidR="00FD3064" w:rsidRDefault="00FD3064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06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Qualora ci siano rischi da interferenza, è stato allegato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al contratto </w:t>
            </w:r>
            <w:r w:rsidRPr="00FD3064">
              <w:rPr>
                <w:rFonts w:asciiTheme="minorHAnsi" w:hAnsiTheme="minorHAnsi" w:cstheme="minorHAnsi"/>
                <w:sz w:val="20"/>
                <w:szCs w:val="20"/>
              </w:rPr>
              <w:t>il DUVRI (Art. 26 d.lgs. 81/2008)?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984F1EC" w14:textId="77777777" w:rsidR="00FD3064" w:rsidRPr="001B4AA8" w:rsidRDefault="00FD3064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41C3BF" w14:textId="7A4BCC8E" w:rsidR="00FD3064" w:rsidRPr="001B4AA8" w:rsidRDefault="00FD3064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duvri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FF6E7F" w14:textId="77777777" w:rsidR="00FD3064" w:rsidRPr="001B4AA8" w:rsidRDefault="00FD30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F3EDE7F" w14:textId="77777777" w:rsidR="00FD3064" w:rsidRPr="001B4AA8" w:rsidRDefault="00FD30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5A32" w:rsidRPr="001B4AA8" w14:paraId="7AB0772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375735" w14:textId="1A9BCEA1" w:rsidR="000019E3" w:rsidRPr="00FD3064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 state effettuate modifiche sostanziali del contratto?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91991EE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5000CBC" w14:textId="6652A398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Atti aggiuntivi al contratto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DF567C1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B5AE56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L'art. 106 comma 4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 stabilisce come una modifica sia sostanziale qualora una o più delle seguenti condizioni siano soddisfatte: </w:t>
            </w:r>
          </w:p>
          <w:p w14:paraId="391F321A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la modifica introduce condizioni che, se fossero state contenute nella procedura d'appalto iniziale, avrebbero consentito l'ammissione di candidati diversi da quelli inizialmente selezionati o l'accettazione di un'offerta diversa da quella inizialmente accettata, oppure avrebbero attirato ulteriori partecipanti alla procedura di aggiudicazione;</w:t>
            </w:r>
          </w:p>
          <w:p w14:paraId="7CD1E430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b)  la modifica cambia l'equilibrio economico del contratto/accordo quadro a favore dell'aggiudicatario in modo non previsto nel contratto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iniziale;</w:t>
            </w:r>
          </w:p>
          <w:p w14:paraId="1B2BEFFD" w14:textId="77777777" w:rsidR="000019E3" w:rsidRDefault="000019E3">
            <w:pPr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c) la modifica estende notevolmente l'ambito di applicazione del contratto;</w:t>
            </w:r>
          </w:p>
          <w:p w14:paraId="2A9A40B0" w14:textId="7FA27BC5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se un nuovo contraente sostituisce quello cui l'amministrazione aggiudicatrice o l'ente aggiudicatore aveva inizialmente aggiudicato l'appalto nell'ipotesi diversa rispetto a quella prevista dall'art. 106 comma 1 lett. d) della medesima norma (secondo cui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I contratti di appalto nei settori ordinari e nei settori speciali possono essere modificati senza una nuova procedura di affidamento nei casi seguenti...d) se un nuovo contraente sostituisce quello a cui la stazione appaltante aveva inizialmente aggiudicato l'appalto a causa di una delle seguenti circostanze: 1) una clausola di revisione inequivocabile...2) all'aggiudicatario iniziale succede, per causa di morte o a seguito di ristrutturazioni societarie, comprese rilevazioni, fusioni, scissioni, acquisizione o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insolvenza, un altro operatore economico che soddisfi i criteri di selezione qualitativa stabiliti inizialmente, purché ciò non implichi altre modifiche sostanziali al contratto e non sia finalizzato ad eludere l'applicazione del presente codice”.</w:t>
            </w:r>
          </w:p>
        </w:tc>
      </w:tr>
      <w:tr w:rsidR="00D75A32" w:rsidRPr="001B4AA8" w14:paraId="4C97938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7061801" w14:textId="6E0339B8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“modifiche”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“varianti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sono state autorizzate dal RUP con le modalità previste dall'ordinamento della stazione appaltante cui il RUP dipende, ai sensi dell’art. 106 del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FD39A0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3C808AE" w14:textId="0CCA30F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01DFC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EF232E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761A9E77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7C8E4BF" w14:textId="6927CBDF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Nel caso di cui al punto 33), ricorre una delle fattispecie di cui all’art. 106, commi 1, 2 e 4 del D.lgs. n.50/2016?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FC7E3A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183673D" w14:textId="4861B25A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91C65DA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17C3C1A" w14:textId="6703EFC0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Specificare nel dettaglio quale ipotesi prevista dalla norma è stata oggetto di applicazione. </w:t>
            </w:r>
          </w:p>
        </w:tc>
      </w:tr>
      <w:tr w:rsidR="00D75A32" w:rsidRPr="001B4AA8" w14:paraId="07569DC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CAE22E6" w14:textId="20EEEE80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a)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2016,  si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è verificata la corrispondenza tra le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>poste in essere e quanto fissato all'interno delle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clausole chiare, precise e inequivocabili”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7D9AE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ACAFD1" w14:textId="094061DF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BE1B061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C384FB5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40E8261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E2BD40C" w14:textId="250AA7D0" w:rsidR="000019E3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b)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l'Amministrazione ha dato evidenza nell'istruttoria e nei provvedimenti adottati in esito alla stessa del fatto che il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cambiamento del contraente” </w:t>
            </w:r>
            <w:r>
              <w:rPr>
                <w:rFonts w:ascii="Calibri" w:hAnsi="Calibri" w:cs="Calibri"/>
                <w:sz w:val="20"/>
                <w:szCs w:val="20"/>
              </w:rPr>
              <w:t>fosse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impraticabile per motivi economici o tecnici quali il rispetto dei requisiti di intercambiabilità o interoperabilità tra apparecchiature, servizi o impianti esistenti forniti nell'ambito dell'appalto iniziale</w:t>
            </w:r>
            <w:r>
              <w:rPr>
                <w:rFonts w:ascii="Calibri" w:hAnsi="Calibri" w:cs="Calibri"/>
                <w:sz w:val="20"/>
                <w:szCs w:val="20"/>
              </w:rPr>
              <w:t>” e comportasse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per l'amministrazione aggiudicatrice o l'ente aggiudicatore notevoli disguidi o una consistente duplicazione dei costi</w:t>
            </w:r>
            <w:r>
              <w:rPr>
                <w:rFonts w:ascii="Calibri" w:hAnsi="Calibri" w:cs="Calibri"/>
                <w:sz w:val="20"/>
                <w:szCs w:val="20"/>
              </w:rPr>
              <w:t>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272B4C4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58D85F6" w14:textId="24D48D6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592880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73935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9B7701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53576E" w14:textId="77777777" w:rsidR="000019E3" w:rsidRPr="00374480" w:rsidRDefault="000019E3" w:rsidP="00DD5CAE">
            <w:pPr>
              <w:pStyle w:val="Paragrafoelenco1"/>
              <w:numPr>
                <w:ilvl w:val="0"/>
                <w:numId w:val="3"/>
              </w:numPr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74480">
              <w:rPr>
                <w:rFonts w:ascii="Calibri" w:hAnsi="Calibri" w:cs="Calibri"/>
                <w:sz w:val="20"/>
                <w:szCs w:val="20"/>
              </w:rPr>
              <w:t xml:space="preserve">In applicazione dell'art. 106 comma 1 lett. c) </w:t>
            </w:r>
            <w:proofErr w:type="spellStart"/>
            <w:r w:rsidRPr="00374480"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 w:rsidRPr="00374480">
              <w:rPr>
                <w:rFonts w:ascii="Calibri" w:hAnsi="Calibri" w:cs="Calibri"/>
                <w:sz w:val="20"/>
                <w:szCs w:val="20"/>
              </w:rPr>
              <w:t xml:space="preserve"> n.50/2016, nel caso di modifiche all'oggetto del contratto denomina</w:t>
            </w:r>
            <w:r>
              <w:rPr>
                <w:rFonts w:ascii="Calibri" w:hAnsi="Calibri" w:cs="Calibri"/>
                <w:sz w:val="20"/>
                <w:szCs w:val="20"/>
              </w:rPr>
              <w:t>te “varianti in corso d'opera”,</w:t>
            </w:r>
            <w:r w:rsidRPr="00374480">
              <w:rPr>
                <w:rFonts w:ascii="Calibri" w:hAnsi="Calibri" w:cs="Calibri"/>
                <w:sz w:val="20"/>
                <w:szCs w:val="20"/>
              </w:rPr>
              <w:t xml:space="preserve"> l'Amministrazione ha dato evidenza nell'istruttoria e nei provvedimenti adottati in esito alla stessa del fatto che:</w:t>
            </w:r>
          </w:p>
          <w:p w14:paraId="714DD839" w14:textId="77777777" w:rsidR="000019E3" w:rsidRPr="00374480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74480">
              <w:rPr>
                <w:rFonts w:ascii="Calibri" w:hAnsi="Calibri" w:cs="Calibri"/>
                <w:sz w:val="20"/>
                <w:szCs w:val="20"/>
              </w:rPr>
              <w:t>1) “la necessità di modifica è determinata da circostanze impreviste e imprevedibili per l'amministrazione aggiudicatrice o per l'ente aggiudicatore”;</w:t>
            </w:r>
          </w:p>
          <w:p w14:paraId="46946A2C" w14:textId="526CE490" w:rsidR="000019E3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74480">
              <w:rPr>
                <w:rFonts w:ascii="Calibri" w:hAnsi="Calibri" w:cs="Calibri"/>
                <w:sz w:val="20"/>
                <w:szCs w:val="20"/>
              </w:rPr>
              <w:lastRenderedPageBreak/>
              <w:t>2) “la modifica non altera la natura generale del contratto”?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6B9FBC4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7FC699D" w14:textId="36894AD8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alla disposizione della variante in corso d'opera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96C9CF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6CE0C3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5B070F3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CA71FD8" w14:textId="43B0CF09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38.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d)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l'Amministrazione ha dato evidenza nell'istruttoria e nei provvedimenti adottati in esito alla stessa del fatto che l'individuazione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“nuovo contraente” </w:t>
            </w:r>
            <w:r>
              <w:rPr>
                <w:rFonts w:ascii="Calibri" w:hAnsi="Calibri" w:cs="Calibri"/>
                <w:sz w:val="20"/>
                <w:szCs w:val="20"/>
              </w:rPr>
              <w:t>sia dipesa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a causa di una delle seguenti circostanze...1)  una clausola di revisione inequivocabile...all'aggiudicatario iniziale succede, per causa di morte o a seguito di ristrutturazioni societarie, comprese rilevazioni, fusioni, scissioni, acquisizione o insolvenza, un altro operatore economico che soddisfi i criteri di selezione qualitativa stabiliti inizialmente, purché ciò non implichi altre modifiche sostanziali al contratto e non sia finalizzato ad eludere l'applicazione del presente codice; 3) nel caso in cui l'amministrazione aggiudicatrice o l'ente aggiudicatore si assuma gli obblighi del contraente principale nei confronti dei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suoi subappaltatori”.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27D6893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21B7B4" w14:textId="200B9C59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891483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88D0974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37ECCD86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F102B82" w14:textId="439813FC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39. Nei casi di cui al comma 1, lettere b) e c) art. 106 D.lgs. 50/2016 è stato verificato che l'eventuale aumento di prezzo non ecceda il 50 per cento del valore del contratto iniziale - così come stabilito dal comma 7 del medesimo art. 106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A61FAF6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BE575F3" w14:textId="09FBBC1F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CEAC92A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341A97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60D4F63C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F74226" w14:textId="5FD1F821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40. Nei casi di modifica del contratto nelle situazioni di cui al comma 1, lettere b) e c), è stato pubblicato – così come imposto dall'art. 106 comma 5 del D. Lgs. 50/2016:</w:t>
            </w:r>
          </w:p>
          <w:p w14:paraId="7CB18A49" w14:textId="77777777" w:rsidR="000019E3" w:rsidRDefault="000019E3" w:rsidP="00DD5CAE">
            <w:pPr>
              <w:pStyle w:val="Paragrafoelenco1"/>
              <w:spacing w:before="120" w:line="276" w:lineRule="auto"/>
              <w:ind w:left="0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   un avviso al riguardo nella GURI, se trattasi di appalto sopra-soglia comunitaria?</w:t>
            </w:r>
          </w:p>
          <w:p w14:paraId="42131498" w14:textId="77777777" w:rsidR="000019E3" w:rsidRDefault="000019E3" w:rsidP="00DD5CAE">
            <w:pPr>
              <w:pStyle w:val="Paragrafoelenco1"/>
              <w:spacing w:before="120" w:line="276" w:lineRule="auto"/>
              <w:ind w:left="0" w:hanging="36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- un avviso con evidenza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“in ambito nazionale”,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nell'ipotesi di appalto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sotto-soglia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comunitaria?</w:t>
            </w:r>
          </w:p>
          <w:p w14:paraId="1F3B3868" w14:textId="77777777" w:rsidR="000019E3" w:rsidRDefault="000019E3" w:rsidP="00DD5CAE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EFB20B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F8E15AE" w14:textId="7109F1A5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Avviso di variazione contrattuale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8E28B3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6031F50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7C592BEB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21130C" w14:textId="7E2021A4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41.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1 lett. e)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si è accertato come le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modifiche non siano sostanziali? (v. commento al punto </w:t>
            </w:r>
            <w:r w:rsidR="008E0316">
              <w:rPr>
                <w:rFonts w:ascii="Calibri" w:hAnsi="Calibri" w:cs="Calibri"/>
                <w:sz w:val="20"/>
                <w:szCs w:val="20"/>
              </w:rPr>
              <w:t>32</w:t>
            </w:r>
            <w:r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E4A3D3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56DC824" w14:textId="2E64D032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relativa alle modifiche contrattuali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FA3FBE5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0372D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484B995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2D04080" w14:textId="5A65810F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42. Nel caso di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“modifiche”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ai sensi dell'art. 106 comma 2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n.50/2016, l’Amministrazione ha dato evidenza nell'istruttoria e nei provvedimenti adottati in esito alla stessa del fatto che il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“valore della modifica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sia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al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al di sotto di entrambi i seguenti valori”</w:t>
            </w:r>
          </w:p>
          <w:p w14:paraId="4A475141" w14:textId="77777777" w:rsidR="000019E3" w:rsidRDefault="000019E3">
            <w:pPr>
              <w:pStyle w:val="Paragrafoelenco1"/>
              <w:spacing w:before="120" w:line="276" w:lineRule="auto"/>
              <w:ind w:left="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a)  le soglie fissate all'articolo 35;</w:t>
            </w:r>
          </w:p>
          <w:p w14:paraId="6087896B" w14:textId="2D0513E4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b)  il 10 per cento del valore iniziale del contratto per i contratti di servizi e forniture sia nei settori ordinari che speciali ovvero il 15 per cento del valore iniziale del contratto per i contratti di lavori sia nei settori ordinari che speciali. </w:t>
            </w:r>
            <w:proofErr w:type="gramStart"/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Tuttavia</w:t>
            </w:r>
            <w:proofErr w:type="gramEnd"/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la modifica non può alterare la natura complessiva del contratto o dell'accordo quadro. In caso di più modifiche successive, il valore è accertato sulla base del valore complessivo netto delle successive modifiche. Qualora la necessità di modificare il contratto derivi da errori o da omissioni nel progetto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esecutivo, che pregiudicano in tutto o in parte la realizzazione dell'opera o la sua utilizzazione, essa è consentita solo nei limiti quantitativi di cui al presente comma, ferma restando la responsabilità dei progettisti esterni”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AAFABD5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5FDBAD" w14:textId="77777777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87B58C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F08ED4E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2521EB0C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FE55764" w14:textId="1DDDFE38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43. Le modificazioni al contratto di cui al comma 1, lett. b) e al comma 2 art. 106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50/2016 sono state comunicate all'ANAC entro trenta giorni dal loro perfezionamento (art. 106 co. 8 del D. 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C567D2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D0C3BAD" w14:textId="20EC6111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Comunicazioni 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95A3503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4B093C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6E5EC0B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191A8DC" w14:textId="47FCE03B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44. Si è reso necessario un aumento o una diminuzione delle prestazioni a concorrenza del quinto dell’importo del contratto in corso di esecuzione (art.106, comma 12,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C07DA2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4483EDE" w14:textId="773C7D22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Atto aggiuntivo/Atto di sottomissione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2A08F6F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4AB656B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0B01612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2DB2546" w14:textId="43EBAE1D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45. Per le ipotesi di aumento o una diminuzione delle prestazioni a concorrenza del quinto dell’importo del contratto in corso di esecuzione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poste in essere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 partire dal 21 giugno 2021, data di deposito presso la Segreteria del Consiglio ANAC della Delibera ANAC n.461/2021, si è verificata la sussistenza delle condizioni di cui all'art. 106 comma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1 lett. c)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n.50/2016: 1) “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la necessità di modifica è determinata da circostanze impreviste e imprevedibili per l'amministrazione aggiudicatrice o per l'ente aggiudicatore”; 2) “la modifica non altera la natura generale del contratto”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31C100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BC5FD48" w14:textId="1B04AF60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Documentazione relativa alla disposizione di aumento o una diminuzione delle prestazioni a concorrenza del quinto dell’importo del contratto in corso di esecuzione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5929CB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493892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1AC3BA54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A1F0FA9" w14:textId="25660683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46. Nel caso in cui la durata del contratto sia stata modificata in corso di esecuzione, nel bando e nei documenti di gara era prevista una opzione di proroga (art. 106, co.11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4A8AF98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66534F6" w14:textId="01454DC6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Documentazione di gara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3AD7392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0377656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49BC54EE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B272538" w14:textId="4BCF3C70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47. Le varianti in corso d'opera dei contratti pubblici relativi a lavori, servizi e forniture, nonché quelle di importo inferiore o pari al 10 per cento dell'importo originario del contratto relative a contratti di importo pari o superiore alla soglia comunitaria, sono state trasmesse dal RUP all'Osservatorio di cui all'art. 213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D.Lgs.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n.50/2016 (art. 106, co.14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7CBB9AC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D9EDDB7" w14:textId="4C37C35E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Comunicazione all'Osservatorio 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2AC9458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01C3A5CD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5AE577C2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1047815" w14:textId="18FE5301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48. Le varianti in corso d'opera dei contratti pubblici </w:t>
            </w:r>
            <w:r>
              <w:rPr>
                <w:rFonts w:ascii="Calibri" w:hAnsi="Calibri" w:cs="Calibri"/>
                <w:color w:val="474747"/>
                <w:sz w:val="20"/>
                <w:szCs w:val="20"/>
              </w:rPr>
              <w:t xml:space="preserve">di </w:t>
            </w:r>
            <w:r w:rsidRPr="001B197C">
              <w:rPr>
                <w:rFonts w:ascii="Calibri" w:hAnsi="Calibri" w:cs="Calibri"/>
                <w:sz w:val="20"/>
                <w:szCs w:val="20"/>
              </w:rPr>
              <w:t xml:space="preserve">importo pari o superiore alla soglia comunitaria, nonché le varianti in corso d'opera di importo eccedente il dieci per cento dell'importo </w:t>
            </w:r>
            <w:r w:rsidRPr="001B197C">
              <w:rPr>
                <w:rFonts w:ascii="Calibri" w:hAnsi="Calibri" w:cs="Calibri"/>
                <w:sz w:val="20"/>
                <w:szCs w:val="20"/>
              </w:rPr>
              <w:lastRenderedPageBreak/>
              <w:t>originario del contratto, incluse le varianti in corso d'opera riferite alle infrastrutture prioritarie, sono trasmesse dal RUP all'ANAC art. 106, co.14 del D.lgs. 50/2016)?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37F8841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E9B2285" w14:textId="463DF39C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Comunicazione all'ANAC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0881A4B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506557C8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A32" w:rsidRPr="001B4AA8" w14:paraId="5D3B04AD" w14:textId="77777777" w:rsidTr="00DD5CAE">
        <w:tblPrEx>
          <w:jc w:val="left"/>
        </w:tblPrEx>
        <w:trPr>
          <w:gridAfter w:val="1"/>
          <w:wAfter w:w="25" w:type="pct"/>
          <w:trHeight w:val="1086"/>
        </w:trPr>
        <w:tc>
          <w:tcPr>
            <w:tcW w:w="125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2895C39A" w14:textId="488E636B" w:rsidR="000019E3" w:rsidRDefault="000019E3">
            <w:pPr>
              <w:pStyle w:val="Paragrafoelenco1"/>
              <w:suppressAutoHyphens/>
              <w:spacing w:before="120" w:line="276" w:lineRule="auto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49. Nel caso di aumento o di diminuzione delle prestazioni a concorrenza del quinto dell’importo del contratto in corso di esecuzione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poste in essere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a partire dal 21 giugno 2021, data di deposito presso la Segreteria del Consiglio ANAC della Delibera ANAC n.461/2021, è stata fatta la comunicazione all'ANAC da parte del RUP ai sensi dell’</w:t>
            </w:r>
            <w:r>
              <w:rPr>
                <w:rFonts w:ascii="Calibri" w:hAnsi="Calibri" w:cs="Calibri"/>
                <w:color w:val="474747"/>
                <w:sz w:val="20"/>
                <w:szCs w:val="20"/>
              </w:rPr>
              <w:t>art. 106, co.14 del D.lgs. 50/2016?</w:t>
            </w:r>
          </w:p>
        </w:tc>
        <w:tc>
          <w:tcPr>
            <w:tcW w:w="1027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147DA0D2" w14:textId="77777777" w:rsidR="000019E3" w:rsidRPr="001B4AA8" w:rsidRDefault="000019E3" w:rsidP="00DD5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328F62C5" w14:textId="7D86259A" w:rsidR="000019E3" w:rsidRDefault="000019E3" w:rsidP="00DD5CAE">
            <w:pPr>
              <w:pStyle w:val="Paragrafoelenco1"/>
              <w:numPr>
                <w:ilvl w:val="0"/>
                <w:numId w:val="9"/>
              </w:numPr>
              <w:ind w:left="0" w:hanging="15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Comunicazione all'ANAC</w:t>
            </w: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41CCE82C" w14:textId="77777777" w:rsidR="000019E3" w:rsidRPr="001B4AA8" w:rsidRDefault="000019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6CF3BA32" w14:textId="77777777" w:rsidR="000019E3" w:rsidRDefault="000019E3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B9FF04" w14:textId="77777777" w:rsidR="00DE7F1C" w:rsidRPr="00AB1C7E" w:rsidRDefault="00DE7F1C" w:rsidP="00DE7F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78FDCA" w14:textId="77777777" w:rsidR="00DE7F1C" w:rsidRPr="00E70BC9" w:rsidRDefault="00DE7F1C" w:rsidP="00DE7F1C">
      <w:pPr>
        <w:jc w:val="both"/>
        <w:rPr>
          <w:rFonts w:asciiTheme="minorHAnsi" w:hAnsiTheme="minorHAnsi" w:cstheme="minorHAnsi"/>
          <w:sz w:val="20"/>
          <w:szCs w:val="20"/>
        </w:rPr>
      </w:pPr>
      <w:r w:rsidRPr="00E70BC9">
        <w:rPr>
          <w:rFonts w:asciiTheme="minorHAnsi" w:hAnsiTheme="minorHAnsi" w:cstheme="minorHAnsi"/>
          <w:sz w:val="20"/>
          <w:szCs w:val="20"/>
        </w:rPr>
        <w:t xml:space="preserve">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62"/>
        <w:gridCol w:w="4462"/>
      </w:tblGrid>
      <w:tr w:rsidR="00D34507" w:rsidRPr="0057597D" w14:paraId="6938B323" w14:textId="77777777" w:rsidTr="008B7189">
        <w:tc>
          <w:tcPr>
            <w:tcW w:w="4462" w:type="dxa"/>
            <w:shd w:val="clear" w:color="auto" w:fill="auto"/>
          </w:tcPr>
          <w:p w14:paraId="62AD1735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>Data Verifica</w:t>
            </w:r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462" w:type="dxa"/>
            <w:shd w:val="clear" w:color="auto" w:fill="auto"/>
          </w:tcPr>
          <w:p w14:paraId="25602A84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>Firma del Verificatore</w:t>
            </w:r>
          </w:p>
          <w:p w14:paraId="754BD0C2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E68E8">
              <w:rPr>
                <w:rFonts w:asciiTheme="minorHAnsi" w:hAnsiTheme="minorHAnsi" w:cstheme="minorHAnsi"/>
                <w:i/>
              </w:rPr>
              <w:t>(per esteso leggibile)</w:t>
            </w:r>
          </w:p>
        </w:tc>
        <w:tc>
          <w:tcPr>
            <w:tcW w:w="4462" w:type="dxa"/>
            <w:shd w:val="clear" w:color="auto" w:fill="auto"/>
          </w:tcPr>
          <w:p w14:paraId="78949543" w14:textId="77777777" w:rsidR="00D34507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62E99">
              <w:rPr>
                <w:rFonts w:asciiTheme="minorHAnsi" w:hAnsiTheme="minorHAnsi" w:cstheme="minorHAnsi"/>
                <w:i/>
              </w:rPr>
              <w:t xml:space="preserve">Firma </w:t>
            </w:r>
            <w:r>
              <w:rPr>
                <w:rFonts w:asciiTheme="minorHAnsi" w:hAnsiTheme="minorHAnsi" w:cstheme="minorHAnsi"/>
                <w:i/>
              </w:rPr>
              <w:t xml:space="preserve">del Responsabile </w:t>
            </w:r>
            <w:r w:rsidRPr="00C62E99">
              <w:rPr>
                <w:rFonts w:asciiTheme="minorHAnsi" w:hAnsiTheme="minorHAnsi" w:cstheme="minorHAnsi"/>
                <w:i/>
              </w:rPr>
              <w:t>dell’Uff</w:t>
            </w:r>
            <w:r>
              <w:rPr>
                <w:rFonts w:asciiTheme="minorHAnsi" w:hAnsiTheme="minorHAnsi" w:cstheme="minorHAnsi"/>
                <w:i/>
              </w:rPr>
              <w:t>. Controlli</w:t>
            </w:r>
          </w:p>
          <w:p w14:paraId="772F3607" w14:textId="77777777" w:rsidR="00D34507" w:rsidRPr="00C62E99" w:rsidRDefault="00D34507" w:rsidP="008B718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E68E8">
              <w:rPr>
                <w:rFonts w:asciiTheme="minorHAnsi" w:hAnsiTheme="minorHAnsi" w:cstheme="minorHAnsi"/>
                <w:i/>
              </w:rPr>
              <w:t>(per esteso leggibile)</w:t>
            </w:r>
          </w:p>
        </w:tc>
      </w:tr>
      <w:tr w:rsidR="00D34507" w:rsidRPr="0057597D" w14:paraId="5D551729" w14:textId="77777777" w:rsidTr="008B7189">
        <w:trPr>
          <w:trHeight w:val="502"/>
        </w:trPr>
        <w:tc>
          <w:tcPr>
            <w:tcW w:w="4462" w:type="dxa"/>
            <w:shd w:val="clear" w:color="auto" w:fill="auto"/>
            <w:vAlign w:val="bottom"/>
          </w:tcPr>
          <w:p w14:paraId="3F3D24A6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386C47">
              <w:rPr>
                <w:rFonts w:asciiTheme="minorHAnsi" w:hAnsiTheme="minorHAnsi" w:cstheme="minorHAnsi"/>
                <w:sz w:val="28"/>
                <w:szCs w:val="20"/>
              </w:rPr>
              <w:t>__ / __ / 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27B3D377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  <w:tc>
          <w:tcPr>
            <w:tcW w:w="4462" w:type="dxa"/>
            <w:shd w:val="clear" w:color="auto" w:fill="auto"/>
            <w:vAlign w:val="bottom"/>
          </w:tcPr>
          <w:p w14:paraId="38C449EF" w14:textId="77777777" w:rsidR="00D34507" w:rsidRPr="0057597D" w:rsidRDefault="00D34507" w:rsidP="008B7189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</w:tr>
    </w:tbl>
    <w:p w14:paraId="246668B9" w14:textId="77777777" w:rsidR="00C30297" w:rsidRPr="001B4AA8" w:rsidRDefault="00FC2658" w:rsidP="00DE7F1C">
      <w:pPr>
        <w:jc w:val="both"/>
        <w:rPr>
          <w:rFonts w:asciiTheme="minorHAnsi" w:hAnsiTheme="minorHAnsi" w:cstheme="minorHAnsi"/>
          <w:sz w:val="20"/>
          <w:szCs w:val="20"/>
        </w:rPr>
      </w:pPr>
      <w:r w:rsidRPr="001B4AA8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C30297" w:rsidRPr="001B4AA8" w:rsidSect="00686379">
      <w:headerReference w:type="default" r:id="rId15"/>
      <w:footerReference w:type="default" r:id="rId16"/>
      <w:footerReference w:type="first" r:id="rId17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032D6" w14:textId="77777777" w:rsidR="0083667B" w:rsidRDefault="0083667B" w:rsidP="0054413A">
      <w:r>
        <w:separator/>
      </w:r>
    </w:p>
  </w:endnote>
  <w:endnote w:type="continuationSeparator" w:id="0">
    <w:p w14:paraId="09999136" w14:textId="77777777" w:rsidR="0083667B" w:rsidRDefault="0083667B" w:rsidP="0054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66230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734DCE2" w14:textId="125EDF26" w:rsidR="00686379" w:rsidRPr="00686379" w:rsidRDefault="00686379">
        <w:pPr>
          <w:pStyle w:val="Pidipagina"/>
          <w:jc w:val="center"/>
          <w:rPr>
            <w:rFonts w:asciiTheme="minorHAnsi" w:hAnsiTheme="minorHAnsi" w:cstheme="minorHAnsi"/>
          </w:rPr>
        </w:pPr>
        <w:r w:rsidRPr="00686379">
          <w:rPr>
            <w:rFonts w:asciiTheme="minorHAnsi" w:hAnsiTheme="minorHAnsi" w:cstheme="minorHAnsi"/>
          </w:rPr>
          <w:fldChar w:fldCharType="begin"/>
        </w:r>
        <w:r w:rsidRPr="00686379">
          <w:rPr>
            <w:rFonts w:asciiTheme="minorHAnsi" w:hAnsiTheme="minorHAnsi" w:cstheme="minorHAnsi"/>
          </w:rPr>
          <w:instrText>PAGE   \* MERGEFORMAT</w:instrText>
        </w:r>
        <w:r w:rsidRPr="00686379">
          <w:rPr>
            <w:rFonts w:asciiTheme="minorHAnsi" w:hAnsiTheme="minorHAnsi" w:cstheme="minorHAnsi"/>
          </w:rPr>
          <w:fldChar w:fldCharType="separate"/>
        </w:r>
        <w:r w:rsidR="00E17CDF">
          <w:rPr>
            <w:rFonts w:asciiTheme="minorHAnsi" w:hAnsiTheme="minorHAnsi" w:cstheme="minorHAnsi"/>
            <w:noProof/>
          </w:rPr>
          <w:t>23</w:t>
        </w:r>
        <w:r w:rsidRPr="00686379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E668" w14:textId="77777777" w:rsidR="00341D1E" w:rsidRDefault="00341D1E" w:rsidP="00341D1E">
    <w:pPr>
      <w:pStyle w:val="Pidipagina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b/>
        <w:bCs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3C2C" w14:textId="77777777" w:rsidR="0083667B" w:rsidRDefault="0083667B" w:rsidP="0054413A">
      <w:r>
        <w:separator/>
      </w:r>
    </w:p>
  </w:footnote>
  <w:footnote w:type="continuationSeparator" w:id="0">
    <w:p w14:paraId="2C763D13" w14:textId="77777777" w:rsidR="0083667B" w:rsidRDefault="0083667B" w:rsidP="0054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9"/>
      <w:gridCol w:w="4809"/>
      <w:gridCol w:w="4809"/>
    </w:tblGrid>
    <w:tr w:rsidR="00BC5559" w14:paraId="47CB7FA7" w14:textId="77777777" w:rsidTr="00BC5559">
      <w:tc>
        <w:tcPr>
          <w:tcW w:w="4809" w:type="dxa"/>
          <w:hideMark/>
        </w:tcPr>
        <w:p w14:paraId="121573FB" w14:textId="142D7EBE" w:rsidR="00BC5559" w:rsidRDefault="00BC5559">
          <w:pPr>
            <w:pStyle w:val="Intestazione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6192" behindDoc="0" locked="0" layoutInCell="1" allowOverlap="1" wp14:anchorId="39177878" wp14:editId="662261E4">
                <wp:simplePos x="0" y="0"/>
                <wp:positionH relativeFrom="column">
                  <wp:posOffset>92710</wp:posOffset>
                </wp:positionH>
                <wp:positionV relativeFrom="paragraph">
                  <wp:posOffset>-17780</wp:posOffset>
                </wp:positionV>
                <wp:extent cx="739775" cy="503555"/>
                <wp:effectExtent l="0" t="0" r="3175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503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09" w:type="dxa"/>
        </w:tcPr>
        <w:p w14:paraId="5C0F316F" w14:textId="348A7212" w:rsidR="00BC5559" w:rsidRDefault="00BC5559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  <w:p w14:paraId="4DE85394" w14:textId="6F6F9B56" w:rsidR="00BC5559" w:rsidRDefault="00023B1E">
          <w:pPr>
            <w:pStyle w:val="Intestazione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color w:val="002060"/>
              <w:sz w:val="28"/>
            </w:rPr>
            <w:t xml:space="preserve">PN 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BMVI</w:t>
          </w:r>
          <w:r w:rsidR="00BC5559">
            <w:rPr>
              <w:rFonts w:asciiTheme="minorHAnsi" w:hAnsiTheme="minorHAnsi" w:cstheme="minorHAnsi"/>
              <w:b/>
              <w:color w:val="002060"/>
              <w:sz w:val="28"/>
            </w:rPr>
            <w:t xml:space="preserve"> </w:t>
          </w:r>
          <w:r>
            <w:rPr>
              <w:rFonts w:asciiTheme="minorHAnsi" w:hAnsiTheme="minorHAnsi" w:cstheme="minorHAnsi"/>
              <w:b/>
              <w:color w:val="002060"/>
              <w:sz w:val="28"/>
            </w:rPr>
            <w:t xml:space="preserve">e ISF 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2021</w:t>
          </w:r>
          <w:r w:rsidR="00BC5559">
            <w:rPr>
              <w:rFonts w:asciiTheme="minorHAnsi" w:hAnsiTheme="minorHAnsi" w:cstheme="minorHAnsi"/>
              <w:b/>
              <w:color w:val="002060"/>
              <w:sz w:val="28"/>
            </w:rPr>
            <w:t>-</w:t>
          </w:r>
          <w:r w:rsidR="00E377C2">
            <w:rPr>
              <w:rFonts w:asciiTheme="minorHAnsi" w:hAnsiTheme="minorHAnsi" w:cstheme="minorHAnsi"/>
              <w:b/>
              <w:color w:val="002060"/>
              <w:sz w:val="28"/>
            </w:rPr>
            <w:t>2027</w:t>
          </w:r>
        </w:p>
      </w:tc>
      <w:tc>
        <w:tcPr>
          <w:tcW w:w="4809" w:type="dxa"/>
          <w:hideMark/>
        </w:tcPr>
        <w:p w14:paraId="64DB2FF4" w14:textId="3063EAEF" w:rsidR="00BC5559" w:rsidRDefault="00335B52">
          <w:pPr>
            <w:pStyle w:val="Intestazione"/>
          </w:pPr>
          <w:r>
            <w:rPr>
              <w:rFonts w:ascii="Calibri" w:hAnsi="Calibri" w:cs="Calibri"/>
              <w:b/>
              <w:bCs/>
              <w:noProof/>
              <w:color w:val="365F91"/>
              <w:sz w:val="28"/>
              <w:szCs w:val="28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6787F87" wp14:editId="592CFD85">
                    <wp:simplePos x="0" y="0"/>
                    <wp:positionH relativeFrom="column">
                      <wp:posOffset>2198370</wp:posOffset>
                    </wp:positionH>
                    <wp:positionV relativeFrom="paragraph">
                      <wp:posOffset>-141605</wp:posOffset>
                    </wp:positionV>
                    <wp:extent cx="767715" cy="262255"/>
                    <wp:effectExtent l="0" t="0" r="0" b="4445"/>
                    <wp:wrapNone/>
                    <wp:docPr id="3" name="Casella di tes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7715" cy="262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3C538E" w14:textId="77777777" w:rsidR="00335B52" w:rsidRPr="005C143D" w:rsidRDefault="00335B52" w:rsidP="00335B52">
                                <w:pPr>
                                  <w:jc w:val="right"/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</w:pPr>
                                <w:r w:rsidRPr="005C143D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ALL.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0"/>
                                  </w:rPr>
                                  <w:t>15.b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6787F87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3" o:spid="_x0000_s1027" type="#_x0000_t202" style="position:absolute;margin-left:173.1pt;margin-top:-11.15pt;width:60.45pt;height:20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Mk5J6d8AAAAKAQAADwAAAGRycy9kb3ducmV2&#10;LnhtbEyPy07DMBBF90j8gzVI7FqnaQkQ4lQVFRsWSBQkWLrxJI7wS7abhr9nWMFydI/uPdNsZ2vY&#10;hDGN3glYLQtg6DqvRjcIeH97WtwBS1k6JY13KOAbE2zby4tG1sqf3StOhzwwKnGplgJ0zqHmPHUa&#10;rUxLH9BR1vtoZaYzDlxFeaZya3hZFBW3cnS0oGXAR43d1+FkBXxYPap9fPnslZn2z/3uJswxCHF9&#10;Ne8egGWc8x8Mv/qkDi05Hf3JqcSMgPWmKgkVsCjLNTAiNtXtCtiR0PsCeNvw/y+0PwAAAP//AwBQ&#10;SwECLQAUAAYACAAAACEAtoM4kv4AAADhAQAAEwAAAAAAAAAAAAAAAAAAAAAAW0NvbnRlbnRfVHlw&#10;ZXNdLnhtbFBLAQItABQABgAIAAAAIQA4/SH/1gAAAJQBAAALAAAAAAAAAAAAAAAAAC8BAABfcmVs&#10;cy8ucmVsc1BLAQItABQABgAIAAAAIQAi+txw8QEAAMkDAAAOAAAAAAAAAAAAAAAAAC4CAABkcnMv&#10;ZTJvRG9jLnhtbFBLAQItABQABgAIAAAAIQAyTknp3wAAAAoBAAAPAAAAAAAAAAAAAAAAAEsEAABk&#10;cnMvZG93bnJldi54bWxQSwUGAAAAAAQABADzAAAAVwUAAAAA&#10;" stroked="f">
                    <v:textbox style="mso-fit-shape-to-text:t">
                      <w:txbxContent>
                        <w:p w14:paraId="0D3C538E" w14:textId="77777777" w:rsidR="00335B52" w:rsidRPr="005C143D" w:rsidRDefault="00335B52" w:rsidP="00335B52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  <w:r w:rsidRPr="005C143D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ALL.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  <w:t>15.b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BC5559"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4A13B997" wp14:editId="23667170">
                <wp:simplePos x="0" y="0"/>
                <wp:positionH relativeFrom="column">
                  <wp:posOffset>1287780</wp:posOffset>
                </wp:positionH>
                <wp:positionV relativeFrom="paragraph">
                  <wp:posOffset>-17780</wp:posOffset>
                </wp:positionV>
                <wp:extent cx="1637665" cy="539750"/>
                <wp:effectExtent l="0" t="0" r="635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539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4ED059A" w14:textId="5462DE6B" w:rsidR="00073CA0" w:rsidRPr="00BC5559" w:rsidRDefault="00073CA0" w:rsidP="00BC55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33A"/>
    <w:multiLevelType w:val="hybridMultilevel"/>
    <w:tmpl w:val="DD0A6D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E71"/>
    <w:multiLevelType w:val="hybridMultilevel"/>
    <w:tmpl w:val="3BB87A4E"/>
    <w:lvl w:ilvl="0" w:tplc="EFE47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11B1C"/>
    <w:multiLevelType w:val="hybridMultilevel"/>
    <w:tmpl w:val="19E000FA"/>
    <w:lvl w:ilvl="0" w:tplc="0410001B">
      <w:start w:val="1"/>
      <w:numFmt w:val="lowerRoman"/>
      <w:lvlText w:val="%1."/>
      <w:lvlJc w:val="righ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9B811FC"/>
    <w:multiLevelType w:val="hybridMultilevel"/>
    <w:tmpl w:val="3AB0EB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A05DD"/>
    <w:multiLevelType w:val="hybridMultilevel"/>
    <w:tmpl w:val="189EA8E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7441AE"/>
    <w:multiLevelType w:val="hybridMultilevel"/>
    <w:tmpl w:val="4B648FA0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63C3C"/>
    <w:multiLevelType w:val="hybridMultilevel"/>
    <w:tmpl w:val="25AECC2E"/>
    <w:lvl w:ilvl="0" w:tplc="0410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0F2D7C"/>
    <w:multiLevelType w:val="hybridMultilevel"/>
    <w:tmpl w:val="19C649BE"/>
    <w:lvl w:ilvl="0" w:tplc="04100017">
      <w:start w:val="1"/>
      <w:numFmt w:val="lowerLetter"/>
      <w:lvlText w:val="%1)"/>
      <w:lvlJc w:val="left"/>
      <w:pPr>
        <w:ind w:left="613" w:hanging="36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0D37FD"/>
    <w:multiLevelType w:val="hybridMultilevel"/>
    <w:tmpl w:val="0F629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3451F"/>
    <w:multiLevelType w:val="hybridMultilevel"/>
    <w:tmpl w:val="F9FCEF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7FC5153"/>
    <w:multiLevelType w:val="hybridMultilevel"/>
    <w:tmpl w:val="D174DBE6"/>
    <w:lvl w:ilvl="0" w:tplc="B75259E4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216326"/>
    <w:multiLevelType w:val="hybridMultilevel"/>
    <w:tmpl w:val="462C7530"/>
    <w:lvl w:ilvl="0" w:tplc="389C1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58754F"/>
    <w:multiLevelType w:val="hybridMultilevel"/>
    <w:tmpl w:val="A0FA3F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54C63"/>
    <w:multiLevelType w:val="hybridMultilevel"/>
    <w:tmpl w:val="9216EE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821E5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4106C"/>
    <w:multiLevelType w:val="hybridMultilevel"/>
    <w:tmpl w:val="A93E30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533"/>
    <w:multiLevelType w:val="hybridMultilevel"/>
    <w:tmpl w:val="AFDAEC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4358"/>
    <w:multiLevelType w:val="hybridMultilevel"/>
    <w:tmpl w:val="ACE8AD4E"/>
    <w:lvl w:ilvl="0" w:tplc="912CB75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B6F21"/>
    <w:multiLevelType w:val="hybridMultilevel"/>
    <w:tmpl w:val="7D6E8AF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BF03D5"/>
    <w:multiLevelType w:val="hybridMultilevel"/>
    <w:tmpl w:val="78A49B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B3D00FB"/>
    <w:multiLevelType w:val="hybridMultilevel"/>
    <w:tmpl w:val="497EF1F0"/>
    <w:lvl w:ilvl="0" w:tplc="30DE0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936EF4"/>
    <w:multiLevelType w:val="hybridMultilevel"/>
    <w:tmpl w:val="86AAA264"/>
    <w:lvl w:ilvl="0" w:tplc="0410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100313"/>
    <w:multiLevelType w:val="hybridMultilevel"/>
    <w:tmpl w:val="9FBEDAB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101FBF"/>
    <w:multiLevelType w:val="hybridMultilevel"/>
    <w:tmpl w:val="7D6E8AF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6D701C"/>
    <w:multiLevelType w:val="hybridMultilevel"/>
    <w:tmpl w:val="885CB4E0"/>
    <w:lvl w:ilvl="0" w:tplc="6316C8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D30B0"/>
    <w:multiLevelType w:val="hybridMultilevel"/>
    <w:tmpl w:val="0EECF0FC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F22C63"/>
    <w:multiLevelType w:val="hybridMultilevel"/>
    <w:tmpl w:val="9F7850C8"/>
    <w:lvl w:ilvl="0" w:tplc="37AAF4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FC6BCB"/>
    <w:multiLevelType w:val="hybridMultilevel"/>
    <w:tmpl w:val="4000BA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063BE2"/>
    <w:multiLevelType w:val="hybridMultilevel"/>
    <w:tmpl w:val="369692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AD718E8"/>
    <w:multiLevelType w:val="hybridMultilevel"/>
    <w:tmpl w:val="8A16E30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5D38AF"/>
    <w:multiLevelType w:val="hybridMultilevel"/>
    <w:tmpl w:val="66E03F84"/>
    <w:lvl w:ilvl="0" w:tplc="B5A2A57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402318A"/>
    <w:multiLevelType w:val="hybridMultilevel"/>
    <w:tmpl w:val="85BE3AB8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8925967"/>
    <w:multiLevelType w:val="hybridMultilevel"/>
    <w:tmpl w:val="3640AF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C6A97"/>
    <w:multiLevelType w:val="hybridMultilevel"/>
    <w:tmpl w:val="F3B88B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41F28"/>
    <w:multiLevelType w:val="hybridMultilevel"/>
    <w:tmpl w:val="06E02E72"/>
    <w:lvl w:ilvl="0" w:tplc="4ED6F030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42218"/>
    <w:multiLevelType w:val="hybridMultilevel"/>
    <w:tmpl w:val="C00AB0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62998"/>
    <w:multiLevelType w:val="hybridMultilevel"/>
    <w:tmpl w:val="FE464B9C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B642F1"/>
    <w:multiLevelType w:val="hybridMultilevel"/>
    <w:tmpl w:val="B362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D40C43"/>
    <w:multiLevelType w:val="hybridMultilevel"/>
    <w:tmpl w:val="D1B45BB0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670942"/>
    <w:multiLevelType w:val="hybridMultilevel"/>
    <w:tmpl w:val="3BCA413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577E88"/>
    <w:multiLevelType w:val="hybridMultilevel"/>
    <w:tmpl w:val="AC248E6A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9141BFA"/>
    <w:multiLevelType w:val="hybridMultilevel"/>
    <w:tmpl w:val="0246B8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7B759B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DE16CF"/>
    <w:multiLevelType w:val="hybridMultilevel"/>
    <w:tmpl w:val="0F629B1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758B9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BC5D81"/>
    <w:multiLevelType w:val="multilevel"/>
    <w:tmpl w:val="6E2E5A9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5757AD0"/>
    <w:multiLevelType w:val="hybridMultilevel"/>
    <w:tmpl w:val="C0A045AE"/>
    <w:lvl w:ilvl="0" w:tplc="B4B0514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67306DB5"/>
    <w:multiLevelType w:val="hybridMultilevel"/>
    <w:tmpl w:val="3BB4ECD6"/>
    <w:lvl w:ilvl="0" w:tplc="0410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45143A"/>
    <w:multiLevelType w:val="hybridMultilevel"/>
    <w:tmpl w:val="33E65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B4D0E"/>
    <w:multiLevelType w:val="hybridMultilevel"/>
    <w:tmpl w:val="CAE65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1B7AA5"/>
    <w:multiLevelType w:val="hybridMultilevel"/>
    <w:tmpl w:val="B3461748"/>
    <w:lvl w:ilvl="0" w:tplc="D116B2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2CF4220"/>
    <w:multiLevelType w:val="hybridMultilevel"/>
    <w:tmpl w:val="9662B6CA"/>
    <w:lvl w:ilvl="0" w:tplc="FF340C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8551571"/>
    <w:multiLevelType w:val="hybridMultilevel"/>
    <w:tmpl w:val="2C2280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EA67BEF"/>
    <w:multiLevelType w:val="hybridMultilevel"/>
    <w:tmpl w:val="EB06F8E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1"/>
  </w:num>
  <w:num w:numId="3">
    <w:abstractNumId w:val="52"/>
  </w:num>
  <w:num w:numId="4">
    <w:abstractNumId w:val="22"/>
  </w:num>
  <w:num w:numId="5">
    <w:abstractNumId w:val="53"/>
  </w:num>
  <w:num w:numId="6">
    <w:abstractNumId w:val="33"/>
  </w:num>
  <w:num w:numId="7">
    <w:abstractNumId w:val="24"/>
  </w:num>
  <w:num w:numId="8">
    <w:abstractNumId w:val="37"/>
  </w:num>
  <w:num w:numId="9">
    <w:abstractNumId w:val="40"/>
  </w:num>
  <w:num w:numId="10">
    <w:abstractNumId w:val="29"/>
  </w:num>
  <w:num w:numId="11">
    <w:abstractNumId w:val="41"/>
  </w:num>
  <w:num w:numId="12">
    <w:abstractNumId w:val="28"/>
  </w:num>
  <w:num w:numId="13">
    <w:abstractNumId w:val="26"/>
  </w:num>
  <w:num w:numId="14">
    <w:abstractNumId w:val="42"/>
  </w:num>
  <w:num w:numId="15">
    <w:abstractNumId w:val="2"/>
  </w:num>
  <w:num w:numId="16">
    <w:abstractNumId w:val="10"/>
  </w:num>
  <w:num w:numId="17">
    <w:abstractNumId w:val="49"/>
  </w:num>
  <w:num w:numId="18">
    <w:abstractNumId w:val="1"/>
  </w:num>
  <w:num w:numId="19">
    <w:abstractNumId w:val="25"/>
  </w:num>
  <w:num w:numId="20">
    <w:abstractNumId w:val="11"/>
  </w:num>
  <w:num w:numId="21">
    <w:abstractNumId w:val="8"/>
  </w:num>
  <w:num w:numId="22">
    <w:abstractNumId w:val="30"/>
  </w:num>
  <w:num w:numId="23">
    <w:abstractNumId w:val="0"/>
  </w:num>
  <w:num w:numId="24">
    <w:abstractNumId w:val="44"/>
  </w:num>
  <w:num w:numId="25">
    <w:abstractNumId w:val="14"/>
  </w:num>
  <w:num w:numId="26">
    <w:abstractNumId w:val="43"/>
  </w:num>
  <w:num w:numId="27">
    <w:abstractNumId w:val="5"/>
  </w:num>
  <w:num w:numId="28">
    <w:abstractNumId w:val="13"/>
  </w:num>
  <w:num w:numId="29">
    <w:abstractNumId w:val="18"/>
  </w:num>
  <w:num w:numId="30">
    <w:abstractNumId w:val="34"/>
  </w:num>
  <w:num w:numId="31">
    <w:abstractNumId w:val="54"/>
  </w:num>
  <w:num w:numId="32">
    <w:abstractNumId w:val="7"/>
  </w:num>
  <w:num w:numId="33">
    <w:abstractNumId w:val="27"/>
  </w:num>
  <w:num w:numId="34">
    <w:abstractNumId w:val="16"/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1"/>
  </w:num>
  <w:num w:numId="38">
    <w:abstractNumId w:val="48"/>
  </w:num>
  <w:num w:numId="39">
    <w:abstractNumId w:val="38"/>
  </w:num>
  <w:num w:numId="40">
    <w:abstractNumId w:val="4"/>
  </w:num>
  <w:num w:numId="41">
    <w:abstractNumId w:val="15"/>
  </w:num>
  <w:num w:numId="42">
    <w:abstractNumId w:val="50"/>
  </w:num>
  <w:num w:numId="43">
    <w:abstractNumId w:val="45"/>
  </w:num>
  <w:num w:numId="44">
    <w:abstractNumId w:val="3"/>
  </w:num>
  <w:num w:numId="45">
    <w:abstractNumId w:val="46"/>
  </w:num>
  <w:num w:numId="46">
    <w:abstractNumId w:val="32"/>
  </w:num>
  <w:num w:numId="47">
    <w:abstractNumId w:val="9"/>
  </w:num>
  <w:num w:numId="48">
    <w:abstractNumId w:val="6"/>
  </w:num>
  <w:num w:numId="49">
    <w:abstractNumId w:val="19"/>
  </w:num>
  <w:num w:numId="50">
    <w:abstractNumId w:val="17"/>
  </w:num>
  <w:num w:numId="51">
    <w:abstractNumId w:val="47"/>
  </w:num>
  <w:num w:numId="52">
    <w:abstractNumId w:val="23"/>
  </w:num>
  <w:num w:numId="53">
    <w:abstractNumId w:val="20"/>
  </w:num>
  <w:num w:numId="54">
    <w:abstractNumId w:val="12"/>
  </w:num>
  <w:num w:numId="55">
    <w:abstractNumId w:val="35"/>
  </w:num>
  <w:num w:numId="56">
    <w:abstractNumId w:val="21"/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401"/>
    <w:rsid w:val="000019E3"/>
    <w:rsid w:val="0000691E"/>
    <w:rsid w:val="00015874"/>
    <w:rsid w:val="00023B1E"/>
    <w:rsid w:val="00037239"/>
    <w:rsid w:val="000438F2"/>
    <w:rsid w:val="000552C5"/>
    <w:rsid w:val="00057B04"/>
    <w:rsid w:val="00060FBF"/>
    <w:rsid w:val="00070B95"/>
    <w:rsid w:val="00073CA0"/>
    <w:rsid w:val="00083D80"/>
    <w:rsid w:val="000C283A"/>
    <w:rsid w:val="000D2A0E"/>
    <w:rsid w:val="000E29E3"/>
    <w:rsid w:val="000E5DF5"/>
    <w:rsid w:val="0010789B"/>
    <w:rsid w:val="001141B9"/>
    <w:rsid w:val="00142779"/>
    <w:rsid w:val="00165BB7"/>
    <w:rsid w:val="0018769D"/>
    <w:rsid w:val="0019701A"/>
    <w:rsid w:val="001A0195"/>
    <w:rsid w:val="001B35C6"/>
    <w:rsid w:val="001B4AA8"/>
    <w:rsid w:val="001B6DDC"/>
    <w:rsid w:val="001C24AD"/>
    <w:rsid w:val="001C2F59"/>
    <w:rsid w:val="001D5991"/>
    <w:rsid w:val="001F200C"/>
    <w:rsid w:val="001F342F"/>
    <w:rsid w:val="001F7661"/>
    <w:rsid w:val="00221682"/>
    <w:rsid w:val="00235745"/>
    <w:rsid w:val="00267369"/>
    <w:rsid w:val="00275C81"/>
    <w:rsid w:val="002963A6"/>
    <w:rsid w:val="002E04A5"/>
    <w:rsid w:val="002E3CD4"/>
    <w:rsid w:val="002E79D4"/>
    <w:rsid w:val="002F14D6"/>
    <w:rsid w:val="002F3006"/>
    <w:rsid w:val="002F37D8"/>
    <w:rsid w:val="002F49CC"/>
    <w:rsid w:val="00301013"/>
    <w:rsid w:val="00302C79"/>
    <w:rsid w:val="003074F1"/>
    <w:rsid w:val="0032042B"/>
    <w:rsid w:val="00330737"/>
    <w:rsid w:val="00335B52"/>
    <w:rsid w:val="003363BD"/>
    <w:rsid w:val="00337F55"/>
    <w:rsid w:val="00341D1E"/>
    <w:rsid w:val="00342A50"/>
    <w:rsid w:val="00345062"/>
    <w:rsid w:val="00350BF2"/>
    <w:rsid w:val="0035186E"/>
    <w:rsid w:val="0038072A"/>
    <w:rsid w:val="0038535E"/>
    <w:rsid w:val="0039376D"/>
    <w:rsid w:val="003A495C"/>
    <w:rsid w:val="003A6C76"/>
    <w:rsid w:val="003D690F"/>
    <w:rsid w:val="00401178"/>
    <w:rsid w:val="00406BB3"/>
    <w:rsid w:val="004325D6"/>
    <w:rsid w:val="004422E8"/>
    <w:rsid w:val="0045346B"/>
    <w:rsid w:val="00493247"/>
    <w:rsid w:val="004A143A"/>
    <w:rsid w:val="004A7980"/>
    <w:rsid w:val="004C1425"/>
    <w:rsid w:val="004C3AAC"/>
    <w:rsid w:val="004E5D2C"/>
    <w:rsid w:val="0050142E"/>
    <w:rsid w:val="00505172"/>
    <w:rsid w:val="0051404D"/>
    <w:rsid w:val="005157E3"/>
    <w:rsid w:val="0052379E"/>
    <w:rsid w:val="00526822"/>
    <w:rsid w:val="00534C84"/>
    <w:rsid w:val="00534D73"/>
    <w:rsid w:val="0054413A"/>
    <w:rsid w:val="00551585"/>
    <w:rsid w:val="005538B3"/>
    <w:rsid w:val="00561CD0"/>
    <w:rsid w:val="00563AB8"/>
    <w:rsid w:val="00576E34"/>
    <w:rsid w:val="00584B63"/>
    <w:rsid w:val="005A492C"/>
    <w:rsid w:val="005A76FE"/>
    <w:rsid w:val="005C7DB0"/>
    <w:rsid w:val="005D0C05"/>
    <w:rsid w:val="00624878"/>
    <w:rsid w:val="00625422"/>
    <w:rsid w:val="00643F7D"/>
    <w:rsid w:val="006673C1"/>
    <w:rsid w:val="00682B1D"/>
    <w:rsid w:val="00686379"/>
    <w:rsid w:val="006904BB"/>
    <w:rsid w:val="006A11CE"/>
    <w:rsid w:val="006B6AE8"/>
    <w:rsid w:val="006C21F0"/>
    <w:rsid w:val="006D16B9"/>
    <w:rsid w:val="006D66A7"/>
    <w:rsid w:val="006D70F4"/>
    <w:rsid w:val="00727062"/>
    <w:rsid w:val="00742CBF"/>
    <w:rsid w:val="00764322"/>
    <w:rsid w:val="007722F0"/>
    <w:rsid w:val="00774143"/>
    <w:rsid w:val="007752B5"/>
    <w:rsid w:val="00787F6C"/>
    <w:rsid w:val="00795EEF"/>
    <w:rsid w:val="007A4B9D"/>
    <w:rsid w:val="007A7990"/>
    <w:rsid w:val="007D6412"/>
    <w:rsid w:val="007E7D79"/>
    <w:rsid w:val="0083667B"/>
    <w:rsid w:val="00843047"/>
    <w:rsid w:val="0085713B"/>
    <w:rsid w:val="0086154F"/>
    <w:rsid w:val="00884866"/>
    <w:rsid w:val="008868DA"/>
    <w:rsid w:val="00886E3D"/>
    <w:rsid w:val="008A0DF2"/>
    <w:rsid w:val="008A4C31"/>
    <w:rsid w:val="008A713A"/>
    <w:rsid w:val="008A7454"/>
    <w:rsid w:val="008C0ACE"/>
    <w:rsid w:val="008C513A"/>
    <w:rsid w:val="008C6DFB"/>
    <w:rsid w:val="008E0316"/>
    <w:rsid w:val="008E334B"/>
    <w:rsid w:val="008E539B"/>
    <w:rsid w:val="008E5446"/>
    <w:rsid w:val="008F68AA"/>
    <w:rsid w:val="009100CE"/>
    <w:rsid w:val="0091636E"/>
    <w:rsid w:val="00924E92"/>
    <w:rsid w:val="00935B31"/>
    <w:rsid w:val="0094442F"/>
    <w:rsid w:val="00945188"/>
    <w:rsid w:val="00966870"/>
    <w:rsid w:val="00971472"/>
    <w:rsid w:val="0097723F"/>
    <w:rsid w:val="009860FC"/>
    <w:rsid w:val="00994907"/>
    <w:rsid w:val="00997C73"/>
    <w:rsid w:val="009B50D4"/>
    <w:rsid w:val="009E324B"/>
    <w:rsid w:val="009E501C"/>
    <w:rsid w:val="00A033EE"/>
    <w:rsid w:val="00A34177"/>
    <w:rsid w:val="00A3444B"/>
    <w:rsid w:val="00A34A6B"/>
    <w:rsid w:val="00A90FA9"/>
    <w:rsid w:val="00AB584C"/>
    <w:rsid w:val="00AE03EF"/>
    <w:rsid w:val="00AF4553"/>
    <w:rsid w:val="00B06522"/>
    <w:rsid w:val="00B14262"/>
    <w:rsid w:val="00B22B7F"/>
    <w:rsid w:val="00B309BB"/>
    <w:rsid w:val="00B32897"/>
    <w:rsid w:val="00B41736"/>
    <w:rsid w:val="00B52977"/>
    <w:rsid w:val="00B56735"/>
    <w:rsid w:val="00B637B4"/>
    <w:rsid w:val="00B7793C"/>
    <w:rsid w:val="00B807FB"/>
    <w:rsid w:val="00B82436"/>
    <w:rsid w:val="00B83E18"/>
    <w:rsid w:val="00B90494"/>
    <w:rsid w:val="00B97903"/>
    <w:rsid w:val="00BA0D34"/>
    <w:rsid w:val="00BC3E68"/>
    <w:rsid w:val="00BC5559"/>
    <w:rsid w:val="00BE38A6"/>
    <w:rsid w:val="00C00B6A"/>
    <w:rsid w:val="00C22A10"/>
    <w:rsid w:val="00C265B3"/>
    <w:rsid w:val="00C30297"/>
    <w:rsid w:val="00C327EA"/>
    <w:rsid w:val="00C5461E"/>
    <w:rsid w:val="00C60142"/>
    <w:rsid w:val="00C72952"/>
    <w:rsid w:val="00C72D3A"/>
    <w:rsid w:val="00C84779"/>
    <w:rsid w:val="00CB5EA8"/>
    <w:rsid w:val="00CC7518"/>
    <w:rsid w:val="00CE28E6"/>
    <w:rsid w:val="00D0289C"/>
    <w:rsid w:val="00D11150"/>
    <w:rsid w:val="00D34507"/>
    <w:rsid w:val="00D36C44"/>
    <w:rsid w:val="00D36E33"/>
    <w:rsid w:val="00D62727"/>
    <w:rsid w:val="00D62844"/>
    <w:rsid w:val="00D66ADF"/>
    <w:rsid w:val="00D75A32"/>
    <w:rsid w:val="00D869B9"/>
    <w:rsid w:val="00D873FC"/>
    <w:rsid w:val="00D92B6A"/>
    <w:rsid w:val="00DA69FB"/>
    <w:rsid w:val="00DA7401"/>
    <w:rsid w:val="00DB3A44"/>
    <w:rsid w:val="00DC20D5"/>
    <w:rsid w:val="00DC5417"/>
    <w:rsid w:val="00DC688B"/>
    <w:rsid w:val="00DD5CAE"/>
    <w:rsid w:val="00DE7F1C"/>
    <w:rsid w:val="00E03136"/>
    <w:rsid w:val="00E11318"/>
    <w:rsid w:val="00E119D2"/>
    <w:rsid w:val="00E12E8A"/>
    <w:rsid w:val="00E17CDF"/>
    <w:rsid w:val="00E247B6"/>
    <w:rsid w:val="00E32D19"/>
    <w:rsid w:val="00E377C2"/>
    <w:rsid w:val="00E45EE8"/>
    <w:rsid w:val="00E47796"/>
    <w:rsid w:val="00E568C4"/>
    <w:rsid w:val="00E669F5"/>
    <w:rsid w:val="00E7210E"/>
    <w:rsid w:val="00E81B65"/>
    <w:rsid w:val="00E82918"/>
    <w:rsid w:val="00EB032C"/>
    <w:rsid w:val="00EC744E"/>
    <w:rsid w:val="00ED6772"/>
    <w:rsid w:val="00ED776D"/>
    <w:rsid w:val="00EE69A3"/>
    <w:rsid w:val="00EF3B8A"/>
    <w:rsid w:val="00EF3F35"/>
    <w:rsid w:val="00EF7287"/>
    <w:rsid w:val="00F2084C"/>
    <w:rsid w:val="00F21E29"/>
    <w:rsid w:val="00F23B3F"/>
    <w:rsid w:val="00F4102E"/>
    <w:rsid w:val="00F96372"/>
    <w:rsid w:val="00FC2658"/>
    <w:rsid w:val="00FD3064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93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A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qFormat/>
    <w:rsid w:val="00DA7401"/>
    <w:pPr>
      <w:ind w:left="720"/>
    </w:pPr>
  </w:style>
  <w:style w:type="paragraph" w:styleId="Intestazione">
    <w:name w:val="header"/>
    <w:basedOn w:val="Normale"/>
    <w:link w:val="IntestazioneCarattere"/>
    <w:uiPriority w:val="99"/>
    <w:rsid w:val="00E7210E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210E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526822"/>
    <w:pPr>
      <w:ind w:left="720"/>
    </w:pPr>
  </w:style>
  <w:style w:type="character" w:styleId="Enfasigrassetto">
    <w:name w:val="Strong"/>
    <w:basedOn w:val="Carpredefinitoparagrafo"/>
    <w:uiPriority w:val="22"/>
    <w:qFormat/>
    <w:rsid w:val="00E47796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5441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13A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1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13A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B06522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21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2168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216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osettiegatti.eu/info/norme/statali/2016_0050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osettiegatti.eu/info/norme/statali/codicecivile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F39785-0BE8-4604-91B2-D76F32862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B19D2-7413-4055-B11B-6BFA60133F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7086A5-818C-423E-B8E9-C5A74E6944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BB2603-5277-4978-990E-BB1F8377D13F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87131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3645</Words>
  <Characters>20782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2020-01-16T14:22:00Z</dcterms:created>
  <dcterms:modified xsi:type="dcterms:W3CDTF">2023-07-18T10:42:00Z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