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DFD45" w14:textId="77777777" w:rsidR="008016C7" w:rsidRPr="005C143D" w:rsidRDefault="008016C7" w:rsidP="008016C7">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58240" behindDoc="0" locked="0" layoutInCell="1" allowOverlap="1" wp14:anchorId="1993121C" wp14:editId="3A2A7950">
                <wp:simplePos x="0" y="0"/>
                <wp:positionH relativeFrom="column">
                  <wp:posOffset>8327390</wp:posOffset>
                </wp:positionH>
                <wp:positionV relativeFrom="paragraph">
                  <wp:posOffset>-499110</wp:posOffset>
                </wp:positionV>
                <wp:extent cx="767715" cy="26225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A9F6D8" w14:textId="19731D22"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E075F7">
                              <w:rPr>
                                <w:rFonts w:asciiTheme="minorHAnsi" w:hAnsiTheme="minorHAnsi" w:cstheme="minorHAnsi"/>
                                <w:b/>
                                <w:sz w:val="22"/>
                                <w:szCs w:val="20"/>
                              </w:rPr>
                              <w:t>1</w:t>
                            </w:r>
                            <w:r w:rsidR="00611870">
                              <w:rPr>
                                <w:rFonts w:asciiTheme="minorHAnsi" w:hAnsiTheme="minorHAnsi" w:cstheme="minorHAnsi"/>
                                <w:b/>
                                <w:sz w:val="22"/>
                                <w:szCs w:val="20"/>
                              </w:rPr>
                              <w:t>4.a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93121C" id="_x0000_t202" coordsize="21600,21600" o:spt="202" path="m,l,21600r21600,l21600,xe">
                <v:stroke joinstyle="miter"/>
                <v:path gradientshapeok="t" o:connecttype="rect"/>
              </v:shapetype>
              <v:shape id="Casella di testo 1" o:spid="_x0000_s1026" type="#_x0000_t202" style="position:absolute;margin-left:655.7pt;margin-top:-39.3pt;width:60.45pt;height:20.6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12A9F6D8" w14:textId="19731D22" w:rsidR="008016C7" w:rsidRPr="00F9774E" w:rsidRDefault="008016C7" w:rsidP="008016C7">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E075F7">
                        <w:rPr>
                          <w:rFonts w:asciiTheme="minorHAnsi" w:hAnsiTheme="minorHAnsi" w:cstheme="minorHAnsi"/>
                          <w:b/>
                          <w:sz w:val="22"/>
                          <w:szCs w:val="20"/>
                        </w:rPr>
                        <w:t>1</w:t>
                      </w:r>
                      <w:r w:rsidR="00611870">
                        <w:rPr>
                          <w:rFonts w:asciiTheme="minorHAnsi" w:hAnsiTheme="minorHAnsi" w:cstheme="minorHAnsi"/>
                          <w:b/>
                          <w:sz w:val="22"/>
                          <w:szCs w:val="20"/>
                        </w:rPr>
                        <w:t>4.a</w:t>
                      </w:r>
                    </w:p>
                  </w:txbxContent>
                </v:textbox>
              </v:shape>
            </w:pict>
          </mc:Fallback>
        </mc:AlternateContent>
      </w:r>
      <w:r w:rsidRPr="005C143D">
        <w:rPr>
          <w:rFonts w:ascii="Calibri" w:hAnsi="Calibri" w:cs="Calibri"/>
          <w:b/>
          <w:bCs/>
          <w:noProof/>
          <w:color w:val="365F91"/>
          <w:sz w:val="28"/>
          <w:szCs w:val="28"/>
          <w:lang w:eastAsia="it-IT"/>
        </w:rPr>
        <w:drawing>
          <wp:anchor distT="0" distB="0" distL="114300" distR="114300" simplePos="0" relativeHeight="251659264" behindDoc="0" locked="0" layoutInCell="1" allowOverlap="1" wp14:anchorId="0A7CD44C" wp14:editId="71E9201A">
            <wp:simplePos x="0" y="0"/>
            <wp:positionH relativeFrom="column">
              <wp:posOffset>83820</wp:posOffset>
            </wp:positionH>
            <wp:positionV relativeFrom="paragraph">
              <wp:posOffset>-234950</wp:posOffset>
            </wp:positionV>
            <wp:extent cx="860425" cy="560705"/>
            <wp:effectExtent l="0" t="0" r="0" b="0"/>
            <wp:wrapNone/>
            <wp:docPr id="7" name="Picture 22"/>
            <wp:cNvGraphicFramePr/>
            <a:graphic xmlns:a="http://schemas.openxmlformats.org/drawingml/2006/main">
              <a:graphicData uri="http://schemas.openxmlformats.org/drawingml/2006/picture">
                <pic:pic xmlns:pic="http://schemas.openxmlformats.org/drawingml/2006/picture">
                  <pic:nvPicPr>
                    <pic:cNvPr id="6" name="Picture 22">
                      <a:extLst>
                        <a:ext uri="{FF2B5EF4-FFF2-40B4-BE49-F238E27FC236}">
                          <a16:creationId xmlns:a16="http://schemas.microsoft.com/office/drawing/2014/main" id="{00000000-0008-0000-0100-000006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0425" cy="560705"/>
                    </a:xfrm>
                    <a:prstGeom prst="rect">
                      <a:avLst/>
                    </a:prstGeom>
                    <a:noFill/>
                    <a:ln>
                      <a:noFill/>
                    </a:ln>
                  </pic:spPr>
                </pic:pic>
              </a:graphicData>
            </a:graphic>
            <wp14:sizeRelV relativeFrom="margin">
              <wp14:pctHeight>0</wp14:pctHeight>
            </wp14:sizeRelV>
          </wp:anchor>
        </w:drawing>
      </w:r>
      <w:r w:rsidRPr="005C143D">
        <w:rPr>
          <w:rFonts w:ascii="Calibri" w:hAnsi="Calibri" w:cs="Calibri"/>
          <w:b/>
          <w:bCs/>
          <w:noProof/>
          <w:color w:val="365F91"/>
          <w:sz w:val="28"/>
          <w:szCs w:val="28"/>
          <w:lang w:eastAsia="it-IT"/>
        </w:rPr>
        <w:drawing>
          <wp:anchor distT="0" distB="0" distL="114300" distR="114300" simplePos="0" relativeHeight="251660288" behindDoc="0" locked="0" layoutInCell="1" allowOverlap="1" wp14:anchorId="17818401" wp14:editId="5EB1C5E5">
            <wp:simplePos x="0" y="0"/>
            <wp:positionH relativeFrom="column">
              <wp:posOffset>7007860</wp:posOffset>
            </wp:positionH>
            <wp:positionV relativeFrom="paragraph">
              <wp:posOffset>-240665</wp:posOffset>
            </wp:positionV>
            <wp:extent cx="2008505" cy="612140"/>
            <wp:effectExtent l="0" t="0" r="0" b="0"/>
            <wp:wrapNone/>
            <wp:docPr id="6" name="Immagine 6"/>
            <wp:cNvGraphicFramePr/>
            <a:graphic xmlns:a="http://schemas.openxmlformats.org/drawingml/2006/main">
              <a:graphicData uri="http://schemas.openxmlformats.org/drawingml/2006/picture">
                <pic:pic xmlns:pic="http://schemas.openxmlformats.org/drawingml/2006/picture">
                  <pic:nvPicPr>
                    <pic:cNvPr id="7" name="Immagine 3">
                      <a:extLst>
                        <a:ext uri="{FF2B5EF4-FFF2-40B4-BE49-F238E27FC236}">
                          <a16:creationId xmlns:a16="http://schemas.microsoft.com/office/drawing/2014/main" id="{00000000-0008-0000-0100-000007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8505" cy="612140"/>
                    </a:xfrm>
                    <a:prstGeom prst="rect">
                      <a:avLst/>
                    </a:prstGeom>
                    <a:noFill/>
                    <a:ln>
                      <a:noFill/>
                    </a:ln>
                  </pic:spPr>
                </pic:pic>
              </a:graphicData>
            </a:graphic>
            <wp14:sizeRelV relativeFrom="margin">
              <wp14:pctHeight>0</wp14:pctHeight>
            </wp14:sizeRelV>
          </wp:anchor>
        </w:drawing>
      </w: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8016C7" w:rsidRPr="005C143D" w14:paraId="461DDBA5" w14:textId="77777777" w:rsidTr="008016C7">
        <w:trPr>
          <w:trHeight w:val="2561"/>
          <w:jc w:val="center"/>
        </w:trPr>
        <w:tc>
          <w:tcPr>
            <w:tcW w:w="14016" w:type="dxa"/>
            <w:gridSpan w:val="2"/>
            <w:tcBorders>
              <w:top w:val="nil"/>
              <w:left w:val="nil"/>
              <w:bottom w:val="nil"/>
              <w:right w:val="nil"/>
            </w:tcBorders>
            <w:shd w:val="clear" w:color="auto" w:fill="auto"/>
            <w:noWrap/>
            <w:vAlign w:val="center"/>
            <w:hideMark/>
          </w:tcPr>
          <w:p w14:paraId="2219FD82" w14:textId="77777777" w:rsidR="008016C7" w:rsidRPr="002B3B48" w:rsidRDefault="008016C7" w:rsidP="009003DE">
            <w:pPr>
              <w:jc w:val="center"/>
              <w:rPr>
                <w:rFonts w:ascii="Calibri" w:hAnsi="Calibri" w:cs="Calibri"/>
                <w:b/>
                <w:bCs/>
                <w:color w:val="365F91"/>
                <w:sz w:val="36"/>
                <w:szCs w:val="48"/>
              </w:rPr>
            </w:pPr>
          </w:p>
          <w:p w14:paraId="78E1A622" w14:textId="77777777" w:rsidR="0060576F" w:rsidRPr="00465E7D" w:rsidRDefault="0060576F" w:rsidP="0060576F">
            <w:pPr>
              <w:jc w:val="center"/>
              <w:rPr>
                <w:rFonts w:ascii="Calibri" w:hAnsi="Calibri" w:cs="Calibri"/>
                <w:b/>
                <w:bCs/>
                <w:color w:val="002060"/>
                <w:sz w:val="48"/>
                <w:szCs w:val="48"/>
              </w:rPr>
            </w:pPr>
            <w:r w:rsidRPr="00465E7D">
              <w:rPr>
                <w:rFonts w:ascii="Calibri" w:hAnsi="Calibri" w:cs="Calibri"/>
                <w:b/>
                <w:bCs/>
                <w:color w:val="002060"/>
                <w:sz w:val="48"/>
                <w:szCs w:val="48"/>
              </w:rPr>
              <w:t>Ministero dell’Interno</w:t>
            </w:r>
          </w:p>
          <w:p w14:paraId="03AF6BBA" w14:textId="77777777" w:rsidR="0060576F" w:rsidRPr="00465E7D" w:rsidRDefault="0060576F" w:rsidP="0060576F">
            <w:pPr>
              <w:jc w:val="center"/>
              <w:rPr>
                <w:rFonts w:ascii="Calibri" w:hAnsi="Calibri" w:cs="Calibri"/>
                <w:color w:val="002060"/>
                <w:sz w:val="44"/>
                <w:szCs w:val="48"/>
              </w:rPr>
            </w:pPr>
            <w:r w:rsidRPr="00465E7D">
              <w:rPr>
                <w:rFonts w:ascii="Calibri" w:hAnsi="Calibri" w:cs="Calibri"/>
                <w:color w:val="002060"/>
                <w:sz w:val="44"/>
                <w:szCs w:val="48"/>
              </w:rPr>
              <w:t xml:space="preserve">Dipartimento di Pubblica Sicurezza </w:t>
            </w:r>
          </w:p>
          <w:p w14:paraId="7BC47E55" w14:textId="77777777" w:rsidR="0060576F" w:rsidRPr="005C143D" w:rsidRDefault="0060576F" w:rsidP="0060576F">
            <w:pPr>
              <w:rPr>
                <w:rFonts w:ascii="Calibri" w:hAnsi="Calibri" w:cs="Calibri"/>
                <w:color w:val="1F497D"/>
              </w:rPr>
            </w:pPr>
          </w:p>
          <w:p w14:paraId="3C2F72D3" w14:textId="77777777" w:rsidR="0060576F" w:rsidRPr="00465E7D" w:rsidRDefault="0060576F" w:rsidP="0060576F">
            <w:pPr>
              <w:jc w:val="center"/>
              <w:rPr>
                <w:rFonts w:ascii="Calibri" w:hAnsi="Calibri" w:cs="Calibri"/>
                <w:b/>
                <w:bCs/>
                <w:color w:val="002060"/>
                <w:sz w:val="44"/>
                <w:szCs w:val="40"/>
              </w:rPr>
            </w:pPr>
            <w:r w:rsidRPr="00465E7D">
              <w:rPr>
                <w:rFonts w:ascii="Calibri" w:hAnsi="Calibri" w:cs="Calibri"/>
                <w:b/>
                <w:bCs/>
                <w:color w:val="002060"/>
                <w:sz w:val="44"/>
                <w:szCs w:val="40"/>
              </w:rPr>
              <w:t>Programmi Nazionali BMVI e ISF 2021 – 2027</w:t>
            </w:r>
          </w:p>
          <w:p w14:paraId="635B717E" w14:textId="77777777" w:rsidR="008016C7" w:rsidRPr="002B3B48" w:rsidRDefault="008016C7" w:rsidP="009003DE">
            <w:pPr>
              <w:rPr>
                <w:rFonts w:ascii="Calibri" w:hAnsi="Calibri" w:cs="Calibri"/>
                <w:color w:val="002060"/>
                <w:sz w:val="36"/>
                <w:lang w:eastAsia="it-IT"/>
              </w:rPr>
            </w:pPr>
          </w:p>
        </w:tc>
      </w:tr>
      <w:tr w:rsidR="00AB1C7E" w:rsidRPr="007325AA" w14:paraId="36E07906" w14:textId="77777777" w:rsidTr="00E851D9">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02801FDD" w14:textId="77777777" w:rsidR="00AB1C7E" w:rsidRPr="002B3B48" w:rsidRDefault="00AB1C7E" w:rsidP="002B3B48">
            <w:pPr>
              <w:spacing w:before="120" w:after="12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CONTROLLO AMMINISTRATIVO FASE 1A</w:t>
            </w:r>
          </w:p>
          <w:p w14:paraId="08530960" w14:textId="77777777" w:rsidR="00AB1C7E" w:rsidRDefault="00AB1C7E" w:rsidP="002B3B48">
            <w:pPr>
              <w:spacing w:before="120" w:after="240"/>
              <w:jc w:val="center"/>
              <w:rPr>
                <w:rFonts w:asciiTheme="minorHAnsi" w:hAnsiTheme="minorHAnsi" w:cstheme="minorHAnsi"/>
                <w:b/>
                <w:bCs/>
                <w:color w:val="FFFFFF"/>
                <w:sz w:val="36"/>
                <w:szCs w:val="40"/>
                <w:lang w:eastAsia="it-IT"/>
              </w:rPr>
            </w:pPr>
            <w:r w:rsidRPr="002B3B48">
              <w:rPr>
                <w:rFonts w:asciiTheme="minorHAnsi" w:hAnsiTheme="minorHAnsi" w:cstheme="minorHAnsi"/>
                <w:b/>
                <w:bCs/>
                <w:color w:val="FFFFFF"/>
                <w:sz w:val="36"/>
                <w:szCs w:val="40"/>
                <w:lang w:eastAsia="it-IT"/>
              </w:rPr>
              <w:t>PROCEDURA DI GARA</w:t>
            </w:r>
          </w:p>
          <w:p w14:paraId="749B622B" w14:textId="77777777" w:rsidR="00122308" w:rsidRPr="002B3B48" w:rsidRDefault="00122308" w:rsidP="002B3B48">
            <w:pPr>
              <w:spacing w:before="120" w:after="240"/>
              <w:jc w:val="center"/>
              <w:rPr>
                <w:rFonts w:asciiTheme="minorHAnsi" w:hAnsiTheme="minorHAnsi" w:cstheme="minorHAnsi"/>
                <w:b/>
                <w:bCs/>
                <w:color w:val="FFFFFF"/>
                <w:sz w:val="36"/>
                <w:szCs w:val="40"/>
                <w:lang w:eastAsia="it-IT"/>
              </w:rPr>
            </w:pPr>
          </w:p>
          <w:p w14:paraId="08120899" w14:textId="77777777" w:rsidR="00AB1C7E" w:rsidRPr="007325AA" w:rsidRDefault="00826161" w:rsidP="002B3B48">
            <w:pPr>
              <w:spacing w:before="120" w:after="120"/>
              <w:jc w:val="center"/>
              <w:rPr>
                <w:rFonts w:ascii="Calibri" w:hAnsi="Calibri" w:cs="Calibri"/>
                <w:b/>
                <w:bCs/>
                <w:color w:val="FFFFFF"/>
                <w:sz w:val="32"/>
                <w:szCs w:val="40"/>
                <w:lang w:eastAsia="it-IT"/>
              </w:rPr>
            </w:pPr>
            <w:r w:rsidRPr="002B3B48">
              <w:rPr>
                <w:rFonts w:asciiTheme="minorHAnsi" w:hAnsiTheme="minorHAnsi" w:cstheme="minorHAnsi"/>
                <w:b/>
                <w:bCs/>
                <w:color w:val="FFFFFF"/>
                <w:sz w:val="36"/>
                <w:szCs w:val="40"/>
                <w:lang w:eastAsia="it-IT"/>
              </w:rPr>
              <w:t xml:space="preserve">CHECK LIST DI </w:t>
            </w:r>
            <w:r>
              <w:rPr>
                <w:rFonts w:asciiTheme="minorHAnsi" w:hAnsiTheme="minorHAnsi" w:cstheme="minorHAnsi"/>
                <w:b/>
                <w:bCs/>
                <w:color w:val="FFFFFF"/>
                <w:sz w:val="36"/>
                <w:szCs w:val="40"/>
                <w:lang w:eastAsia="it-IT"/>
              </w:rPr>
              <w:t>VERIFICA</w:t>
            </w:r>
            <w:r w:rsidRPr="002B3B48">
              <w:rPr>
                <w:rFonts w:asciiTheme="minorHAnsi" w:hAnsiTheme="minorHAnsi" w:cstheme="minorHAnsi"/>
                <w:b/>
                <w:bCs/>
                <w:color w:val="FFFFFF"/>
                <w:sz w:val="36"/>
                <w:szCs w:val="40"/>
                <w:lang w:eastAsia="it-IT"/>
              </w:rPr>
              <w:t xml:space="preserve"> DEGLI AFFIDAMENTI CON RICORSO A</w:t>
            </w:r>
            <w:r>
              <w:rPr>
                <w:rFonts w:asciiTheme="minorHAnsi" w:hAnsiTheme="minorHAnsi" w:cstheme="minorHAnsi"/>
                <w:b/>
                <w:bCs/>
                <w:color w:val="FFFFFF"/>
                <w:sz w:val="36"/>
                <w:szCs w:val="40"/>
                <w:lang w:eastAsia="it-IT"/>
              </w:rPr>
              <w:t>LLO</w:t>
            </w:r>
            <w:r w:rsidRPr="002B3B48">
              <w:rPr>
                <w:rFonts w:asciiTheme="minorHAnsi" w:hAnsiTheme="minorHAnsi" w:cstheme="minorHAnsi"/>
                <w:b/>
                <w:bCs/>
                <w:color w:val="FFFFFF"/>
                <w:sz w:val="36"/>
                <w:szCs w:val="40"/>
                <w:lang w:eastAsia="it-IT"/>
              </w:rPr>
              <w:t xml:space="preserve"> SDAPA</w:t>
            </w:r>
          </w:p>
        </w:tc>
      </w:tr>
      <w:tr w:rsidR="00AB1C7E" w:rsidRPr="007325AA" w14:paraId="3D359580"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C8FB1CC"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Beneficiario</w:t>
            </w:r>
          </w:p>
        </w:tc>
        <w:tc>
          <w:tcPr>
            <w:tcW w:w="8113" w:type="dxa"/>
            <w:tcBorders>
              <w:top w:val="single" w:sz="4" w:space="0" w:color="7F7F7F"/>
              <w:left w:val="nil"/>
              <w:bottom w:val="single" w:sz="4" w:space="0" w:color="7F7F7F"/>
              <w:right w:val="single" w:sz="4" w:space="0" w:color="7F7F7F"/>
            </w:tcBorders>
            <w:vAlign w:val="center"/>
            <w:hideMark/>
          </w:tcPr>
          <w:p w14:paraId="0FA4B80D" w14:textId="77777777" w:rsidR="00AB1C7E" w:rsidRPr="007325AA" w:rsidRDefault="00AB1C7E" w:rsidP="003D296E">
            <w:pPr>
              <w:spacing w:line="276" w:lineRule="auto"/>
              <w:rPr>
                <w:rFonts w:ascii="Calibri" w:hAnsi="Calibri" w:cs="Calibri"/>
                <w:sz w:val="32"/>
                <w:szCs w:val="22"/>
              </w:rPr>
            </w:pPr>
          </w:p>
        </w:tc>
      </w:tr>
      <w:tr w:rsidR="00AB1C7E" w:rsidRPr="007325AA" w14:paraId="3C8EF9A8"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BB533FA" w14:textId="77777777" w:rsidR="00AB1C7E" w:rsidRPr="007325AA" w:rsidRDefault="00AB1C7E" w:rsidP="003D296E">
            <w:pPr>
              <w:rPr>
                <w:rFonts w:ascii="Calibri" w:hAnsi="Calibri" w:cs="Calibri"/>
                <w:b/>
                <w:bCs/>
                <w:color w:val="FFFFFF"/>
                <w:sz w:val="32"/>
                <w:lang w:eastAsia="it-IT"/>
              </w:rPr>
            </w:pPr>
            <w:r>
              <w:rPr>
                <w:rFonts w:ascii="Calibri" w:hAnsi="Calibri" w:cs="Calibri"/>
                <w:b/>
                <w:bCs/>
                <w:color w:val="FFFFFF"/>
                <w:sz w:val="32"/>
                <w:lang w:eastAsia="it-IT"/>
              </w:rPr>
              <w:t>Numero del</w:t>
            </w:r>
            <w:r w:rsidRPr="007325AA">
              <w:rPr>
                <w:rFonts w:ascii="Calibri" w:hAnsi="Calibri" w:cs="Calibri"/>
                <w:b/>
                <w:bCs/>
                <w:color w:val="FFFFFF"/>
                <w:sz w:val="32"/>
                <w:lang w:eastAsia="it-IT"/>
              </w:rPr>
              <w:t xml:space="preserve"> Progetto</w:t>
            </w:r>
          </w:p>
        </w:tc>
        <w:tc>
          <w:tcPr>
            <w:tcW w:w="8113" w:type="dxa"/>
            <w:tcBorders>
              <w:top w:val="single" w:sz="4" w:space="0" w:color="7F7F7F"/>
              <w:left w:val="nil"/>
              <w:bottom w:val="single" w:sz="4" w:space="0" w:color="7F7F7F"/>
              <w:right w:val="single" w:sz="4" w:space="0" w:color="7F7F7F"/>
            </w:tcBorders>
            <w:vAlign w:val="center"/>
            <w:hideMark/>
          </w:tcPr>
          <w:p w14:paraId="0197EDEB" w14:textId="77777777" w:rsidR="00AB1C7E" w:rsidRPr="007325AA" w:rsidRDefault="00AB1C7E" w:rsidP="003D296E">
            <w:pPr>
              <w:spacing w:line="276" w:lineRule="auto"/>
              <w:rPr>
                <w:rFonts w:ascii="Calibri" w:hAnsi="Calibri" w:cs="Calibri"/>
                <w:sz w:val="32"/>
                <w:szCs w:val="22"/>
              </w:rPr>
            </w:pPr>
          </w:p>
        </w:tc>
      </w:tr>
      <w:tr w:rsidR="00AB1C7E" w:rsidRPr="007325AA" w14:paraId="59020779" w14:textId="77777777" w:rsidTr="00E851D9">
        <w:trPr>
          <w:trHeight w:val="851"/>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540C7F18" w14:textId="77777777" w:rsidR="00AB1C7E" w:rsidRPr="007325AA" w:rsidRDefault="003713AB" w:rsidP="003D296E">
            <w:pPr>
              <w:rPr>
                <w:rFonts w:ascii="Calibri" w:hAnsi="Calibri" w:cs="Calibri"/>
                <w:b/>
                <w:bCs/>
                <w:color w:val="FFFFFF"/>
                <w:sz w:val="32"/>
                <w:lang w:eastAsia="it-IT"/>
              </w:rPr>
            </w:pPr>
            <w:r>
              <w:rPr>
                <w:rFonts w:ascii="Calibri" w:hAnsi="Calibri" w:cs="Calibri"/>
                <w:b/>
                <w:bCs/>
                <w:color w:val="FFFFFF"/>
                <w:sz w:val="32"/>
                <w:lang w:eastAsia="it-IT"/>
              </w:rPr>
              <w:t>Titolo del Progetto</w:t>
            </w:r>
          </w:p>
        </w:tc>
        <w:tc>
          <w:tcPr>
            <w:tcW w:w="8113" w:type="dxa"/>
            <w:tcBorders>
              <w:top w:val="single" w:sz="4" w:space="0" w:color="7F7F7F"/>
              <w:left w:val="nil"/>
              <w:bottom w:val="single" w:sz="4" w:space="0" w:color="7F7F7F"/>
              <w:right w:val="single" w:sz="4" w:space="0" w:color="7F7F7F"/>
            </w:tcBorders>
            <w:vAlign w:val="center"/>
            <w:hideMark/>
          </w:tcPr>
          <w:p w14:paraId="7E749195" w14:textId="77777777" w:rsidR="00AB1C7E" w:rsidRPr="007325AA" w:rsidRDefault="00AB1C7E" w:rsidP="003D296E">
            <w:pPr>
              <w:spacing w:line="276" w:lineRule="auto"/>
              <w:rPr>
                <w:rFonts w:ascii="Calibri" w:hAnsi="Calibri" w:cs="Calibri"/>
                <w:sz w:val="32"/>
                <w:szCs w:val="22"/>
              </w:rPr>
            </w:pPr>
          </w:p>
        </w:tc>
      </w:tr>
      <w:tr w:rsidR="00AB1C7E" w:rsidRPr="007325AA" w14:paraId="2D5F2485" w14:textId="77777777" w:rsidTr="008016C7">
        <w:trPr>
          <w:trHeight w:val="345"/>
          <w:jc w:val="center"/>
        </w:trPr>
        <w:tc>
          <w:tcPr>
            <w:tcW w:w="14016" w:type="dxa"/>
            <w:gridSpan w:val="2"/>
            <w:shd w:val="clear" w:color="auto" w:fill="FFFFFF"/>
            <w:noWrap/>
            <w:vAlign w:val="bottom"/>
            <w:hideMark/>
          </w:tcPr>
          <w:p w14:paraId="3DE5A105" w14:textId="77777777" w:rsidR="00AB1C7E" w:rsidRPr="007325AA" w:rsidRDefault="00AB1C7E" w:rsidP="008016C7">
            <w:pPr>
              <w:jc w:val="center"/>
              <w:rPr>
                <w:rFonts w:ascii="Calibri" w:hAnsi="Calibri" w:cs="Calibri"/>
                <w:color w:val="000000"/>
                <w:sz w:val="32"/>
                <w:lang w:eastAsia="it-IT"/>
              </w:rPr>
            </w:pPr>
          </w:p>
        </w:tc>
      </w:tr>
    </w:tbl>
    <w:tbl>
      <w:tblPr>
        <w:tblpPr w:leftFromText="180" w:rightFromText="180" w:vertAnchor="page" w:horzAnchor="margin" w:tblpXSpec="center" w:tblpY="1725"/>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E79" w:themeFill="accent1" w:themeFillShade="80"/>
        <w:tblLook w:val="01E0" w:firstRow="1" w:lastRow="1" w:firstColumn="1" w:lastColumn="1" w:noHBand="0" w:noVBand="0"/>
      </w:tblPr>
      <w:tblGrid>
        <w:gridCol w:w="1161"/>
        <w:gridCol w:w="56"/>
        <w:gridCol w:w="399"/>
        <w:gridCol w:w="1165"/>
        <w:gridCol w:w="6"/>
        <w:gridCol w:w="1401"/>
        <w:gridCol w:w="854"/>
        <w:gridCol w:w="1640"/>
        <w:gridCol w:w="587"/>
        <w:gridCol w:w="1825"/>
        <w:gridCol w:w="5142"/>
      </w:tblGrid>
      <w:tr w:rsidR="00804866" w:rsidRPr="00BB5EB3" w14:paraId="7159E264" w14:textId="77777777" w:rsidTr="000B68BB">
        <w:trPr>
          <w:trHeight w:val="794"/>
        </w:trPr>
        <w:tc>
          <w:tcPr>
            <w:tcW w:w="5000" w:type="pct"/>
            <w:gridSpan w:val="11"/>
            <w:tcBorders>
              <w:top w:val="single" w:sz="24" w:space="0" w:color="C0C0C0"/>
              <w:left w:val="single" w:sz="24" w:space="0" w:color="C0C0C0"/>
              <w:bottom w:val="single" w:sz="24" w:space="0" w:color="C0C0C0"/>
              <w:right w:val="single" w:sz="24" w:space="0" w:color="C0C0C0"/>
            </w:tcBorders>
            <w:shd w:val="clear" w:color="auto" w:fill="002060"/>
          </w:tcPr>
          <w:p w14:paraId="3608C4C7"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lastRenderedPageBreak/>
              <w:t xml:space="preserve">Check list </w:t>
            </w:r>
          </w:p>
          <w:p w14:paraId="0971E48E" w14:textId="77777777" w:rsidR="00804866" w:rsidRPr="00BB5EB3" w:rsidRDefault="00804866" w:rsidP="000B68BB">
            <w:pPr>
              <w:keepNext/>
              <w:keepLines/>
              <w:spacing w:before="120" w:after="120"/>
              <w:ind w:left="714" w:hanging="357"/>
              <w:jc w:val="center"/>
              <w:rPr>
                <w:rFonts w:asciiTheme="minorHAnsi" w:hAnsiTheme="minorHAnsi" w:cstheme="minorHAnsi"/>
                <w:b/>
                <w:bCs/>
                <w:color w:val="FFFFFF"/>
                <w:sz w:val="36"/>
                <w:szCs w:val="28"/>
                <w:lang w:eastAsia="it-IT"/>
              </w:rPr>
            </w:pPr>
            <w:r w:rsidRPr="00BB5EB3">
              <w:rPr>
                <w:rFonts w:asciiTheme="minorHAnsi" w:hAnsiTheme="minorHAnsi" w:cstheme="minorHAnsi"/>
                <w:b/>
                <w:bCs/>
                <w:color w:val="FFFFFF"/>
                <w:sz w:val="36"/>
                <w:szCs w:val="28"/>
                <w:lang w:eastAsia="it-IT"/>
              </w:rPr>
              <w:t>Verifiche amministrativo contabili su base documentale</w:t>
            </w:r>
          </w:p>
        </w:tc>
      </w:tr>
      <w:tr w:rsidR="00804866" w:rsidRPr="008F104A" w14:paraId="057FD4C2" w14:textId="77777777" w:rsidTr="001F38A5">
        <w:trPr>
          <w:trHeight w:val="762"/>
        </w:trPr>
        <w:tc>
          <w:tcPr>
            <w:tcW w:w="408" w:type="pct"/>
            <w:tcBorders>
              <w:top w:val="single" w:sz="24" w:space="0" w:color="C0C0C0"/>
              <w:left w:val="single" w:sz="24" w:space="0" w:color="C0C0C0"/>
              <w:bottom w:val="thinThickSmallGap" w:sz="24" w:space="0" w:color="C0C0C0"/>
              <w:right w:val="single" w:sz="4" w:space="0" w:color="FFFFFF"/>
            </w:tcBorders>
            <w:shd w:val="clear" w:color="auto" w:fill="auto"/>
            <w:vAlign w:val="center"/>
          </w:tcPr>
          <w:p w14:paraId="204F091F"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 xml:space="preserve">Data:   </w:t>
            </w:r>
          </w:p>
        </w:tc>
        <w:tc>
          <w:tcPr>
            <w:tcW w:w="571" w:type="pct"/>
            <w:gridSpan w:val="4"/>
            <w:tcBorders>
              <w:top w:val="single" w:sz="24" w:space="0" w:color="C0C0C0"/>
              <w:left w:val="single" w:sz="4" w:space="0" w:color="FFFFFF"/>
              <w:bottom w:val="thinThickSmallGap" w:sz="24" w:space="0" w:color="C0C0C0"/>
              <w:right w:val="thinThickSmallGap" w:sz="24" w:space="0" w:color="C0C0C0"/>
            </w:tcBorders>
            <w:shd w:val="clear" w:color="auto" w:fill="auto"/>
            <w:vAlign w:val="center"/>
          </w:tcPr>
          <w:p w14:paraId="131DA83B" w14:textId="77777777" w:rsidR="00804866" w:rsidRPr="008F104A" w:rsidRDefault="00804866" w:rsidP="000B68BB">
            <w:pPr>
              <w:rPr>
                <w:rFonts w:asciiTheme="minorHAnsi" w:hAnsiTheme="minorHAnsi" w:cstheme="minorHAnsi"/>
                <w:b/>
                <w:bCs/>
              </w:rPr>
            </w:pPr>
          </w:p>
        </w:tc>
        <w:tc>
          <w:tcPr>
            <w:tcW w:w="492" w:type="pct"/>
            <w:tcBorders>
              <w:top w:val="single" w:sz="24" w:space="0" w:color="C0C0C0"/>
              <w:left w:val="thinThickSmallGap" w:sz="24" w:space="0" w:color="C0C0C0"/>
              <w:bottom w:val="thinThickSmallGap" w:sz="24" w:space="0" w:color="C0C0C0"/>
              <w:right w:val="single" w:sz="4" w:space="0" w:color="FFFFFF"/>
            </w:tcBorders>
            <w:shd w:val="clear" w:color="auto" w:fill="auto"/>
            <w:vAlign w:val="center"/>
          </w:tcPr>
          <w:p w14:paraId="73CB9B39"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Verificatori:</w:t>
            </w:r>
          </w:p>
        </w:tc>
        <w:tc>
          <w:tcPr>
            <w:tcW w:w="3529" w:type="pct"/>
            <w:gridSpan w:val="5"/>
            <w:tcBorders>
              <w:top w:val="single" w:sz="24" w:space="0" w:color="C0C0C0"/>
              <w:left w:val="single" w:sz="4" w:space="0" w:color="FFFFFF"/>
              <w:bottom w:val="thinThickSmallGap" w:sz="24" w:space="0" w:color="C0C0C0"/>
              <w:right w:val="single" w:sz="24" w:space="0" w:color="C0C0C0"/>
            </w:tcBorders>
            <w:shd w:val="clear" w:color="auto" w:fill="auto"/>
            <w:vAlign w:val="center"/>
          </w:tcPr>
          <w:p w14:paraId="650ED7F6" w14:textId="77777777" w:rsidR="00804866" w:rsidRPr="008F104A" w:rsidRDefault="00804866" w:rsidP="000B68BB">
            <w:pPr>
              <w:rPr>
                <w:rFonts w:asciiTheme="minorHAnsi" w:hAnsiTheme="minorHAnsi" w:cstheme="minorHAnsi"/>
                <w:b/>
                <w:bCs/>
              </w:rPr>
            </w:pPr>
          </w:p>
        </w:tc>
      </w:tr>
      <w:tr w:rsidR="00804866" w:rsidRPr="008F104A" w14:paraId="7BB76587" w14:textId="77777777" w:rsidTr="001F38A5">
        <w:trPr>
          <w:trHeight w:val="1054"/>
        </w:trPr>
        <w:tc>
          <w:tcPr>
            <w:tcW w:w="979" w:type="pct"/>
            <w:gridSpan w:val="5"/>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411C88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Titolo del Progetto:</w:t>
            </w:r>
          </w:p>
        </w:tc>
        <w:tc>
          <w:tcPr>
            <w:tcW w:w="4021" w:type="pct"/>
            <w:gridSpan w:val="6"/>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0946C9C6" w14:textId="77777777" w:rsidR="00804866" w:rsidRPr="008F104A" w:rsidRDefault="00804866" w:rsidP="000B68BB">
            <w:pPr>
              <w:rPr>
                <w:rFonts w:asciiTheme="minorHAnsi" w:hAnsiTheme="minorHAnsi" w:cstheme="minorHAnsi"/>
                <w:b/>
                <w:bCs/>
              </w:rPr>
            </w:pPr>
          </w:p>
        </w:tc>
      </w:tr>
      <w:tr w:rsidR="009D2346" w:rsidRPr="008F104A" w14:paraId="74F0F650" w14:textId="77777777" w:rsidTr="009D2346">
        <w:trPr>
          <w:trHeight w:val="724"/>
        </w:trPr>
        <w:tc>
          <w:tcPr>
            <w:tcW w:w="977" w:type="pct"/>
            <w:gridSpan w:val="4"/>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43C914C0" w14:textId="77777777" w:rsidR="009D2346" w:rsidRPr="007325AA" w:rsidRDefault="009D2346" w:rsidP="009D2346">
            <w:pPr>
              <w:rPr>
                <w:rFonts w:asciiTheme="minorHAnsi" w:hAnsiTheme="minorHAnsi" w:cstheme="minorHAnsi"/>
                <w:b/>
                <w:bCs/>
              </w:rPr>
            </w:pPr>
            <w:r>
              <w:rPr>
                <w:rFonts w:asciiTheme="minorHAnsi" w:hAnsiTheme="minorHAnsi" w:cstheme="minorHAnsi"/>
                <w:b/>
                <w:bCs/>
                <w:color w:val="1F4E79" w:themeColor="accent1" w:themeShade="80"/>
              </w:rPr>
              <w:t>Programma Nazionale 2021-2027:</w:t>
            </w:r>
            <w:r>
              <w:rPr>
                <w:rFonts w:asciiTheme="minorHAnsi" w:hAnsiTheme="minorHAnsi" w:cs="Arial"/>
                <w:b/>
              </w:rPr>
              <w:t xml:space="preserve"> </w:t>
            </w:r>
          </w:p>
        </w:tc>
        <w:tc>
          <w:tcPr>
            <w:tcW w:w="4023" w:type="pct"/>
            <w:gridSpan w:val="7"/>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60"/>
              <w:gridCol w:w="508"/>
              <w:gridCol w:w="3261"/>
            </w:tblGrid>
            <w:tr w:rsidR="009D2346" w14:paraId="30546C4F" w14:textId="77777777" w:rsidTr="00465E7D">
              <w:sdt>
                <w:sdtPr>
                  <w:rPr>
                    <w:rFonts w:asciiTheme="minorHAnsi" w:hAnsiTheme="minorHAnsi" w:cs="Arial"/>
                  </w:rPr>
                  <w:id w:val="250783060"/>
                  <w14:checkbox>
                    <w14:checked w14:val="0"/>
                    <w14:checkedState w14:val="2612" w14:font="MS Gothic"/>
                    <w14:uncheckedState w14:val="2610" w14:font="MS Gothic"/>
                  </w14:checkbox>
                </w:sdtPr>
                <w:sdtEndPr/>
                <w:sdtContent>
                  <w:tc>
                    <w:tcPr>
                      <w:tcW w:w="567" w:type="dxa"/>
                    </w:tcPr>
                    <w:p w14:paraId="142DE5B1" w14:textId="77777777" w:rsidR="009D2346" w:rsidRDefault="009D2346" w:rsidP="00E075F7">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1760" w:type="dxa"/>
                </w:tcPr>
                <w:p w14:paraId="3FD165E8" w14:textId="77777777" w:rsidR="009D2346" w:rsidRPr="00871E95" w:rsidRDefault="009D2346" w:rsidP="00E075F7">
                  <w:pPr>
                    <w:framePr w:hSpace="180" w:wrap="around" w:vAnchor="page" w:hAnchor="margin" w:xAlign="center" w:y="1725"/>
                    <w:rPr>
                      <w:rFonts w:asciiTheme="minorHAnsi" w:hAnsiTheme="minorHAnsi" w:cs="Arial"/>
                      <w:b/>
                    </w:rPr>
                  </w:pPr>
                  <w:r w:rsidRPr="00871E95">
                    <w:rPr>
                      <w:rFonts w:asciiTheme="minorHAnsi" w:hAnsiTheme="minorHAnsi" w:cs="Arial"/>
                      <w:b/>
                    </w:rPr>
                    <w:t xml:space="preserve">ISF </w:t>
                  </w:r>
                </w:p>
              </w:tc>
              <w:sdt>
                <w:sdtPr>
                  <w:rPr>
                    <w:rFonts w:asciiTheme="minorHAnsi" w:hAnsiTheme="minorHAnsi" w:cs="Arial"/>
                  </w:rPr>
                  <w:id w:val="-234854753"/>
                  <w14:checkbox>
                    <w14:checked w14:val="0"/>
                    <w14:checkedState w14:val="2612" w14:font="MS Gothic"/>
                    <w14:uncheckedState w14:val="2610" w14:font="MS Gothic"/>
                  </w14:checkbox>
                </w:sdtPr>
                <w:sdtEndPr/>
                <w:sdtContent>
                  <w:tc>
                    <w:tcPr>
                      <w:tcW w:w="508" w:type="dxa"/>
                    </w:tcPr>
                    <w:p w14:paraId="5F3F4E5F" w14:textId="77777777" w:rsidR="009D2346" w:rsidRDefault="009D2346" w:rsidP="00E075F7">
                      <w:pPr>
                        <w:framePr w:hSpace="180" w:wrap="around" w:vAnchor="page" w:hAnchor="margin" w:xAlign="center" w:y="1725"/>
                        <w:rPr>
                          <w:rFonts w:asciiTheme="minorHAnsi" w:hAnsiTheme="minorHAnsi" w:cs="Arial"/>
                        </w:rPr>
                      </w:pPr>
                      <w:r>
                        <w:rPr>
                          <w:rFonts w:ascii="MS Gothic" w:eastAsia="MS Gothic" w:hAnsi="MS Gothic" w:cs="Arial" w:hint="eastAsia"/>
                        </w:rPr>
                        <w:t>☐</w:t>
                      </w:r>
                    </w:p>
                  </w:tc>
                </w:sdtContent>
              </w:sdt>
              <w:tc>
                <w:tcPr>
                  <w:tcW w:w="3261" w:type="dxa"/>
                </w:tcPr>
                <w:p w14:paraId="1AAE6B3B" w14:textId="77777777" w:rsidR="009D2346" w:rsidRPr="00871E95" w:rsidRDefault="009D2346" w:rsidP="00E075F7">
                  <w:pPr>
                    <w:framePr w:hSpace="180" w:wrap="around" w:vAnchor="page" w:hAnchor="margin" w:xAlign="center" w:y="1725"/>
                    <w:rPr>
                      <w:rFonts w:asciiTheme="minorHAnsi" w:hAnsiTheme="minorHAnsi" w:cs="Arial"/>
                      <w:b/>
                    </w:rPr>
                  </w:pPr>
                  <w:r>
                    <w:rPr>
                      <w:rFonts w:asciiTheme="minorHAnsi" w:hAnsiTheme="minorHAnsi" w:cs="Arial"/>
                      <w:b/>
                    </w:rPr>
                    <w:t>BMVI</w:t>
                  </w:r>
                </w:p>
              </w:tc>
            </w:tr>
          </w:tbl>
          <w:p w14:paraId="31CBDD2E" w14:textId="77777777" w:rsidR="009D2346" w:rsidRPr="007325AA" w:rsidRDefault="009D2346" w:rsidP="009D2346">
            <w:pPr>
              <w:rPr>
                <w:rFonts w:asciiTheme="minorHAnsi" w:hAnsiTheme="minorHAnsi" w:cstheme="minorHAnsi"/>
                <w:b/>
                <w:bCs/>
              </w:rPr>
            </w:pPr>
          </w:p>
        </w:tc>
      </w:tr>
      <w:tr w:rsidR="00804866" w:rsidRPr="008F104A" w14:paraId="2EA79CF4" w14:textId="77777777" w:rsidTr="001F38A5">
        <w:trPr>
          <w:trHeight w:val="915"/>
        </w:trPr>
        <w:tc>
          <w:tcPr>
            <w:tcW w:w="568" w:type="pct"/>
            <w:gridSpan w:val="3"/>
            <w:tcBorders>
              <w:top w:val="thinThickSmallGap" w:sz="24" w:space="0" w:color="C0C0C0"/>
              <w:left w:val="single" w:sz="24" w:space="0" w:color="C0C0C0"/>
              <w:bottom w:val="thinThickSmallGap" w:sz="24" w:space="0" w:color="C0C0C0"/>
              <w:right w:val="single" w:sz="4" w:space="0" w:color="FFFFFF"/>
            </w:tcBorders>
            <w:shd w:val="clear" w:color="auto" w:fill="auto"/>
            <w:vAlign w:val="center"/>
          </w:tcPr>
          <w:p w14:paraId="13F72D68"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Beneficiario:</w:t>
            </w:r>
          </w:p>
        </w:tc>
        <w:tc>
          <w:tcPr>
            <w:tcW w:w="1985" w:type="pct"/>
            <w:gridSpan w:val="6"/>
            <w:tcBorders>
              <w:top w:val="thinThickSmallGap" w:sz="24" w:space="0" w:color="C0C0C0"/>
              <w:left w:val="single" w:sz="4" w:space="0" w:color="FFFFFF"/>
              <w:bottom w:val="thinThickSmallGap" w:sz="24" w:space="0" w:color="C0C0C0"/>
              <w:right w:val="thinThickSmallGap" w:sz="24" w:space="0" w:color="C0C0C0"/>
            </w:tcBorders>
            <w:shd w:val="clear" w:color="auto" w:fill="auto"/>
            <w:vAlign w:val="center"/>
          </w:tcPr>
          <w:p w14:paraId="0C959E97" w14:textId="77777777" w:rsidR="00804866" w:rsidRPr="008F104A" w:rsidRDefault="00804866" w:rsidP="000B68BB">
            <w:pPr>
              <w:rPr>
                <w:rFonts w:asciiTheme="minorHAnsi" w:hAnsiTheme="minorHAnsi" w:cstheme="minorHAnsi"/>
                <w:b/>
                <w:bCs/>
              </w:rPr>
            </w:pPr>
          </w:p>
        </w:tc>
        <w:tc>
          <w:tcPr>
            <w:tcW w:w="641" w:type="pct"/>
            <w:tcBorders>
              <w:top w:val="thinThickSmallGap" w:sz="24" w:space="0" w:color="C0C0C0"/>
              <w:left w:val="thinThickSmallGap" w:sz="24" w:space="0" w:color="C0C0C0"/>
              <w:bottom w:val="thinThickSmallGap" w:sz="24" w:space="0" w:color="C0C0C0"/>
              <w:right w:val="single" w:sz="4" w:space="0" w:color="FFFFFF"/>
            </w:tcBorders>
            <w:shd w:val="clear" w:color="auto" w:fill="auto"/>
            <w:vAlign w:val="center"/>
          </w:tcPr>
          <w:p w14:paraId="62F1B5FC" w14:textId="77777777" w:rsidR="00804866" w:rsidRPr="008F104A" w:rsidRDefault="00804866" w:rsidP="000B68BB">
            <w:pPr>
              <w:rPr>
                <w:rFonts w:asciiTheme="minorHAnsi" w:hAnsiTheme="minorHAnsi" w:cstheme="minorHAnsi"/>
              </w:rPr>
            </w:pPr>
            <w:r>
              <w:rPr>
                <w:rFonts w:asciiTheme="minorHAnsi" w:hAnsiTheme="minorHAnsi" w:cstheme="minorHAnsi"/>
                <w:b/>
                <w:bCs/>
                <w:color w:val="1F4E79" w:themeColor="accent1" w:themeShade="80"/>
              </w:rPr>
              <w:t>Importo</w:t>
            </w:r>
            <w:r w:rsidRPr="008F104A">
              <w:rPr>
                <w:rFonts w:asciiTheme="minorHAnsi" w:hAnsiTheme="minorHAnsi" w:cstheme="minorHAnsi"/>
                <w:b/>
                <w:bCs/>
                <w:color w:val="1F4E79" w:themeColor="accent1" w:themeShade="80"/>
              </w:rPr>
              <w:t xml:space="preserve"> del </w:t>
            </w:r>
            <w:r>
              <w:rPr>
                <w:rFonts w:asciiTheme="minorHAnsi" w:hAnsiTheme="minorHAnsi" w:cstheme="minorHAnsi"/>
                <w:b/>
                <w:bCs/>
                <w:color w:val="1F4E79" w:themeColor="accent1" w:themeShade="80"/>
              </w:rPr>
              <w:t xml:space="preserve"> p</w:t>
            </w:r>
            <w:r w:rsidRPr="008F104A">
              <w:rPr>
                <w:rFonts w:asciiTheme="minorHAnsi" w:hAnsiTheme="minorHAnsi" w:cstheme="minorHAnsi"/>
                <w:b/>
                <w:bCs/>
                <w:color w:val="1F4E79" w:themeColor="accent1" w:themeShade="80"/>
              </w:rPr>
              <w:t>rogetto:</w:t>
            </w:r>
          </w:p>
        </w:tc>
        <w:tc>
          <w:tcPr>
            <w:tcW w:w="1806" w:type="pct"/>
            <w:tcBorders>
              <w:top w:val="thinThickSmallGap" w:sz="24" w:space="0" w:color="C0C0C0"/>
              <w:left w:val="single" w:sz="4" w:space="0" w:color="FFFFFF"/>
              <w:bottom w:val="thinThickSmallGap" w:sz="24" w:space="0" w:color="C0C0C0"/>
              <w:right w:val="single" w:sz="24" w:space="0" w:color="C0C0C0"/>
            </w:tcBorders>
            <w:shd w:val="clear" w:color="auto" w:fill="auto"/>
            <w:vAlign w:val="center"/>
          </w:tcPr>
          <w:p w14:paraId="6DDF680D" w14:textId="77777777" w:rsidR="00804866" w:rsidRPr="008F104A" w:rsidRDefault="00804866" w:rsidP="000B68BB">
            <w:pPr>
              <w:rPr>
                <w:rFonts w:asciiTheme="minorHAnsi" w:hAnsiTheme="minorHAnsi" w:cstheme="minorHAnsi"/>
              </w:rPr>
            </w:pPr>
          </w:p>
        </w:tc>
      </w:tr>
      <w:tr w:rsidR="00804866" w:rsidRPr="008F104A" w14:paraId="39652EFD" w14:textId="77777777" w:rsidTr="001F38A5">
        <w:trPr>
          <w:trHeight w:val="628"/>
        </w:trPr>
        <w:tc>
          <w:tcPr>
            <w:tcW w:w="428" w:type="pct"/>
            <w:gridSpan w:val="2"/>
            <w:tcBorders>
              <w:top w:val="thinThickSmallGap" w:sz="24" w:space="0" w:color="C0C0C0"/>
              <w:left w:val="single" w:sz="24" w:space="0" w:color="C0C0C0"/>
              <w:bottom w:val="thinThickSmallGap" w:sz="24" w:space="0" w:color="C0C0C0"/>
              <w:right w:val="single" w:sz="24" w:space="0" w:color="FFFFFF"/>
            </w:tcBorders>
            <w:shd w:val="clear" w:color="auto" w:fill="auto"/>
            <w:vAlign w:val="center"/>
          </w:tcPr>
          <w:p w14:paraId="6F3D1B92" w14:textId="77777777" w:rsidR="00804866" w:rsidRPr="008F104A" w:rsidRDefault="00804866" w:rsidP="000B68BB">
            <w:pPr>
              <w:rPr>
                <w:rFonts w:asciiTheme="minorHAnsi" w:hAnsiTheme="minorHAnsi" w:cstheme="minorHAnsi"/>
                <w:b/>
                <w:bCs/>
              </w:rPr>
            </w:pPr>
            <w:r w:rsidRPr="008F104A">
              <w:rPr>
                <w:rFonts w:asciiTheme="minorHAnsi" w:hAnsiTheme="minorHAnsi" w:cstheme="minorHAnsi"/>
                <w:b/>
                <w:bCs/>
                <w:color w:val="1F4E79" w:themeColor="accent1" w:themeShade="80"/>
              </w:rPr>
              <w:t>Obiettivo Specifico:</w:t>
            </w:r>
          </w:p>
        </w:tc>
        <w:tc>
          <w:tcPr>
            <w:tcW w:w="1342" w:type="pct"/>
            <w:gridSpan w:val="5"/>
            <w:tcBorders>
              <w:top w:val="thinThickSmallGap" w:sz="24" w:space="0" w:color="C0C0C0"/>
              <w:left w:val="single" w:sz="24" w:space="0" w:color="FFFFFF"/>
              <w:bottom w:val="thinThickSmallGap" w:sz="24" w:space="0" w:color="C0C0C0"/>
              <w:right w:val="thinThickSmallGap" w:sz="24" w:space="0" w:color="C0C0C0"/>
            </w:tcBorders>
            <w:shd w:val="clear" w:color="auto" w:fill="auto"/>
            <w:vAlign w:val="center"/>
          </w:tcPr>
          <w:p w14:paraId="1657B590" w14:textId="77777777" w:rsidR="00804866" w:rsidRPr="00035B4D" w:rsidRDefault="00804866" w:rsidP="000B68BB">
            <w:pPr>
              <w:rPr>
                <w:rFonts w:asciiTheme="minorHAnsi" w:hAnsiTheme="minorHAnsi" w:cstheme="minorHAnsi"/>
                <w:b/>
                <w:bCs/>
                <w:color w:val="1F4E79" w:themeColor="accent1" w:themeShade="80"/>
              </w:rPr>
            </w:pPr>
          </w:p>
        </w:tc>
        <w:tc>
          <w:tcPr>
            <w:tcW w:w="576" w:type="pct"/>
            <w:tcBorders>
              <w:top w:val="thinThickSmallGap" w:sz="24" w:space="0" w:color="C0C0C0"/>
              <w:left w:val="thinThickSmallGap" w:sz="24" w:space="0" w:color="C0C0C0"/>
              <w:bottom w:val="thinThickSmallGap" w:sz="24" w:space="0" w:color="C0C0C0"/>
              <w:right w:val="nil"/>
            </w:tcBorders>
            <w:shd w:val="clear" w:color="auto" w:fill="auto"/>
            <w:vAlign w:val="center"/>
          </w:tcPr>
          <w:p w14:paraId="3DDD232A" w14:textId="13B812A4" w:rsidR="00804866" w:rsidRPr="00035B4D" w:rsidRDefault="00CB266E"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Tipo di intervento</w:t>
            </w:r>
            <w:r w:rsidR="00804866" w:rsidRPr="008F104A">
              <w:rPr>
                <w:rFonts w:asciiTheme="minorHAnsi" w:hAnsiTheme="minorHAnsi" w:cstheme="minorHAnsi"/>
                <w:b/>
                <w:bCs/>
                <w:color w:val="1F4E79" w:themeColor="accent1" w:themeShade="80"/>
              </w:rPr>
              <w:t>:</w:t>
            </w:r>
          </w:p>
        </w:tc>
        <w:tc>
          <w:tcPr>
            <w:tcW w:w="2653" w:type="pct"/>
            <w:gridSpan w:val="3"/>
            <w:tcBorders>
              <w:top w:val="thinThickSmallGap" w:sz="24" w:space="0" w:color="C0C0C0"/>
              <w:left w:val="nil"/>
              <w:bottom w:val="thinThickSmallGap" w:sz="24" w:space="0" w:color="C0C0C0"/>
              <w:right w:val="single" w:sz="24" w:space="0" w:color="C0C0C0"/>
            </w:tcBorders>
            <w:shd w:val="clear" w:color="auto" w:fill="auto"/>
            <w:vAlign w:val="center"/>
          </w:tcPr>
          <w:p w14:paraId="679AD188" w14:textId="77777777" w:rsidR="00804866" w:rsidRPr="00035B4D"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 xml:space="preserve"> </w:t>
            </w:r>
          </w:p>
        </w:tc>
      </w:tr>
      <w:tr w:rsidR="00804866" w:rsidRPr="008F104A" w14:paraId="1BB9E380" w14:textId="77777777" w:rsidTr="000B68BB">
        <w:trPr>
          <w:trHeight w:val="923"/>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79C87EEB" w14:textId="77777777" w:rsidR="00804866" w:rsidRPr="008F104A" w:rsidRDefault="00804866" w:rsidP="000B68BB">
            <w:pPr>
              <w:rPr>
                <w:rFonts w:asciiTheme="minorHAnsi" w:hAnsiTheme="minorHAnsi" w:cstheme="minorHAnsi"/>
                <w:b/>
                <w:bCs/>
                <w:color w:val="1F4E79" w:themeColor="accent1" w:themeShade="80"/>
              </w:rPr>
            </w:pPr>
            <w:r>
              <w:rPr>
                <w:rFonts w:asciiTheme="minorHAnsi" w:hAnsiTheme="minorHAnsi" w:cstheme="minorHAnsi"/>
                <w:b/>
                <w:bCs/>
                <w:color w:val="1F4E79" w:themeColor="accent1" w:themeShade="80"/>
              </w:rPr>
              <w:t>Oggetto della procedura:</w:t>
            </w:r>
          </w:p>
        </w:tc>
      </w:tr>
      <w:tr w:rsidR="00804866" w:rsidRPr="008F104A" w14:paraId="059C6ACE" w14:textId="77777777" w:rsidTr="001F38A5">
        <w:trPr>
          <w:trHeight w:val="1049"/>
        </w:trPr>
        <w:tc>
          <w:tcPr>
            <w:tcW w:w="1771" w:type="pct"/>
            <w:gridSpan w:val="7"/>
            <w:tcBorders>
              <w:top w:val="thinThickSmallGap" w:sz="24" w:space="0" w:color="C0C0C0"/>
              <w:left w:val="single" w:sz="24" w:space="0" w:color="C0C0C0"/>
              <w:bottom w:val="thinThickSmallGap" w:sz="24" w:space="0" w:color="C0C0C0"/>
              <w:right w:val="single" w:sz="24" w:space="0" w:color="C0C0C0"/>
            </w:tcBorders>
            <w:shd w:val="clear" w:color="auto" w:fill="auto"/>
            <w:vAlign w:val="center"/>
          </w:tcPr>
          <w:p w14:paraId="45596F28" w14:textId="77777777" w:rsidR="00804866" w:rsidRPr="008F104A" w:rsidRDefault="00804866" w:rsidP="000B68BB">
            <w:pPr>
              <w:rPr>
                <w:rFonts w:asciiTheme="minorHAnsi" w:hAnsiTheme="minorHAnsi" w:cstheme="minorHAnsi"/>
              </w:rPr>
            </w:pPr>
            <w:r w:rsidRPr="008F104A">
              <w:rPr>
                <w:rFonts w:asciiTheme="minorHAnsi" w:hAnsiTheme="minorHAnsi" w:cstheme="minorHAnsi"/>
                <w:b/>
                <w:bCs/>
                <w:color w:val="1F4E79" w:themeColor="accent1" w:themeShade="80"/>
              </w:rPr>
              <w:t>Tipologia procedura:</w:t>
            </w:r>
          </w:p>
        </w:tc>
        <w:tc>
          <w:tcPr>
            <w:tcW w:w="3229" w:type="pct"/>
            <w:gridSpan w:val="4"/>
            <w:tcBorders>
              <w:top w:val="thinThickSmallGap" w:sz="24" w:space="0" w:color="C0C0C0"/>
              <w:left w:val="thinThickSmallGap" w:sz="24" w:space="0" w:color="C0C0C0"/>
              <w:bottom w:val="thinThickSmallGap" w:sz="24" w:space="0" w:color="C0C0C0"/>
              <w:right w:val="single" w:sz="24" w:space="0" w:color="C0C0C0"/>
            </w:tcBorders>
            <w:shd w:val="clear" w:color="auto" w:fill="auto"/>
            <w:vAlign w:val="center"/>
          </w:tcPr>
          <w:p w14:paraId="130A1A37" w14:textId="77777777" w:rsidR="00804866" w:rsidRPr="008F104A" w:rsidRDefault="00804866" w:rsidP="0043211C">
            <w:pPr>
              <w:rPr>
                <w:rFonts w:asciiTheme="minorHAnsi" w:hAnsiTheme="minorHAnsi" w:cstheme="minorHAnsi"/>
              </w:rPr>
            </w:pPr>
            <w:r>
              <w:rPr>
                <w:rFonts w:asciiTheme="minorHAnsi" w:hAnsiTheme="minorHAnsi" w:cstheme="minorHAnsi"/>
                <w:b/>
                <w:bCs/>
                <w:color w:val="1F4E79" w:themeColor="accent1" w:themeShade="80"/>
              </w:rPr>
              <w:t xml:space="preserve">Importo </w:t>
            </w:r>
            <w:r w:rsidR="00A87015">
              <w:rPr>
                <w:rFonts w:asciiTheme="minorHAnsi" w:hAnsiTheme="minorHAnsi" w:cstheme="minorHAnsi"/>
                <w:b/>
                <w:bCs/>
                <w:color w:val="1F4E79" w:themeColor="accent1" w:themeShade="80"/>
              </w:rPr>
              <w:t xml:space="preserve"> </w:t>
            </w:r>
            <w:r w:rsidR="0043211C">
              <w:rPr>
                <w:rFonts w:asciiTheme="minorHAnsi" w:hAnsiTheme="minorHAnsi" w:cstheme="minorHAnsi"/>
                <w:b/>
                <w:bCs/>
                <w:color w:val="1F4E79" w:themeColor="accent1" w:themeShade="80"/>
              </w:rPr>
              <w:t>a base di gara</w:t>
            </w:r>
          </w:p>
        </w:tc>
      </w:tr>
      <w:tr w:rsidR="00804866" w:rsidRPr="008F104A" w14:paraId="674B8E05" w14:textId="77777777" w:rsidTr="000B68BB">
        <w:trPr>
          <w:trHeight w:val="892"/>
        </w:trPr>
        <w:tc>
          <w:tcPr>
            <w:tcW w:w="5000" w:type="pct"/>
            <w:gridSpan w:val="11"/>
            <w:tcBorders>
              <w:top w:val="thinThickSmallGap" w:sz="24" w:space="0" w:color="C0C0C0"/>
              <w:left w:val="single" w:sz="24" w:space="0" w:color="C0C0C0"/>
              <w:bottom w:val="single" w:sz="24" w:space="0" w:color="C0C0C0"/>
              <w:right w:val="single" w:sz="24" w:space="0" w:color="C0C0C0"/>
            </w:tcBorders>
            <w:shd w:val="clear" w:color="auto" w:fill="auto"/>
            <w:vAlign w:val="center"/>
          </w:tcPr>
          <w:p w14:paraId="5CBA0480" w14:textId="77777777" w:rsidR="00804866" w:rsidRPr="008F104A" w:rsidRDefault="00804866" w:rsidP="000B68BB">
            <w:pPr>
              <w:rPr>
                <w:rFonts w:asciiTheme="minorHAnsi" w:hAnsiTheme="minorHAnsi" w:cstheme="minorHAnsi"/>
                <w:b/>
                <w:bCs/>
                <w:color w:val="1F4E79" w:themeColor="accent1" w:themeShade="80"/>
              </w:rPr>
            </w:pPr>
            <w:r w:rsidRPr="008F104A">
              <w:rPr>
                <w:rFonts w:asciiTheme="minorHAnsi" w:hAnsiTheme="minorHAnsi" w:cstheme="minorHAnsi"/>
                <w:b/>
                <w:bCs/>
                <w:color w:val="1F4E79" w:themeColor="accent1" w:themeShade="80"/>
              </w:rPr>
              <w:t>Soggetto aggiudicatario</w:t>
            </w:r>
            <w:r w:rsidRPr="008F104A">
              <w:rPr>
                <w:rFonts w:asciiTheme="minorHAnsi" w:hAnsiTheme="minorHAnsi" w:cstheme="minorHAnsi"/>
                <w:color w:val="1F4E79" w:themeColor="accent1" w:themeShade="80"/>
              </w:rPr>
              <w:t>:</w:t>
            </w:r>
          </w:p>
        </w:tc>
      </w:tr>
    </w:tbl>
    <w:p w14:paraId="589448C1" w14:textId="77777777" w:rsidR="00DA7401" w:rsidRDefault="00DA7401">
      <w:pPr>
        <w:spacing w:after="160" w:line="259" w:lineRule="auto"/>
      </w:pPr>
    </w:p>
    <w:tbl>
      <w:tblPr>
        <w:tblStyle w:val="Grigliatabella"/>
        <w:tblW w:w="14031" w:type="dxa"/>
        <w:jc w:val="center"/>
        <w:tblLayout w:type="fixed"/>
        <w:tblLook w:val="04A0" w:firstRow="1" w:lastRow="0" w:firstColumn="1" w:lastColumn="0" w:noHBand="0" w:noVBand="1"/>
      </w:tblPr>
      <w:tblGrid>
        <w:gridCol w:w="14031"/>
      </w:tblGrid>
      <w:tr w:rsidR="00B83E18" w:rsidRPr="00AB1C7E" w14:paraId="6DD99126" w14:textId="77777777" w:rsidTr="0083618B">
        <w:trPr>
          <w:trHeight w:val="947"/>
          <w:jc w:val="center"/>
        </w:trPr>
        <w:tc>
          <w:tcPr>
            <w:tcW w:w="14031"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4BB80661" w14:textId="77777777" w:rsidR="00B83E18" w:rsidRPr="00AB1C7E" w:rsidRDefault="00CD3C14" w:rsidP="00BB5EB3">
            <w:pPr>
              <w:spacing w:before="120" w:after="120"/>
              <w:jc w:val="center"/>
              <w:rPr>
                <w:rFonts w:asciiTheme="minorHAnsi" w:hAnsiTheme="minorHAnsi" w:cstheme="minorHAnsi"/>
              </w:rPr>
            </w:pPr>
            <w:r w:rsidRPr="00BB5EB3">
              <w:rPr>
                <w:rFonts w:asciiTheme="minorHAnsi" w:hAnsiTheme="minorHAnsi" w:cstheme="minorHAnsi"/>
                <w:b/>
                <w:color w:val="FFFFFF" w:themeColor="background1"/>
                <w:sz w:val="36"/>
              </w:rPr>
              <w:t>Verifica della procedura di gara</w:t>
            </w:r>
          </w:p>
        </w:tc>
      </w:tr>
      <w:tr w:rsidR="00B83E18" w:rsidRPr="00AB1C7E" w14:paraId="519C87B4" w14:textId="77777777" w:rsidTr="0083618B">
        <w:trPr>
          <w:trHeight w:val="1086"/>
          <w:jc w:val="center"/>
        </w:trPr>
        <w:tc>
          <w:tcPr>
            <w:tcW w:w="14031"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4EA25DCF"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
                <w:bCs/>
                <w:sz w:val="22"/>
                <w:szCs w:val="22"/>
              </w:rPr>
              <w:t xml:space="preserve">INDICAZIONI PER LA COMPILAZIONE: </w:t>
            </w:r>
            <w:r w:rsidRPr="00BB5EB3">
              <w:rPr>
                <w:rFonts w:asciiTheme="minorHAnsi" w:hAnsiTheme="minorHAnsi" w:cstheme="minorHAnsi"/>
                <w:bCs/>
                <w:sz w:val="22"/>
                <w:szCs w:val="22"/>
              </w:rPr>
              <w:t xml:space="preserve">Indicare con il rispettivo simbolo in corrispondenza di ogni punto di controllo se l'esito della verifica è positivo </w:t>
            </w:r>
            <w:r w:rsidRPr="00BB5EB3">
              <w:rPr>
                <w:rFonts w:asciiTheme="minorHAnsi" w:hAnsiTheme="minorHAnsi" w:cstheme="minorHAnsi"/>
                <w:b/>
                <w:bCs/>
                <w:sz w:val="22"/>
                <w:szCs w:val="22"/>
              </w:rPr>
              <w:t>(Si)</w:t>
            </w:r>
            <w:r w:rsidRPr="00BB5EB3">
              <w:rPr>
                <w:rFonts w:asciiTheme="minorHAnsi" w:hAnsiTheme="minorHAnsi" w:cstheme="minorHAnsi"/>
                <w:bCs/>
                <w:sz w:val="22"/>
                <w:szCs w:val="22"/>
              </w:rPr>
              <w:t xml:space="preserve"> o negativo </w:t>
            </w:r>
            <w:r w:rsidRPr="00BB5EB3">
              <w:rPr>
                <w:rFonts w:asciiTheme="minorHAnsi" w:hAnsiTheme="minorHAnsi" w:cstheme="minorHAnsi"/>
                <w:b/>
                <w:bCs/>
                <w:sz w:val="22"/>
                <w:szCs w:val="22"/>
              </w:rPr>
              <w:t>(No)</w:t>
            </w:r>
            <w:r w:rsidRPr="00BB5EB3">
              <w:rPr>
                <w:rFonts w:asciiTheme="minorHAnsi" w:hAnsiTheme="minorHAnsi" w:cstheme="minorHAnsi"/>
                <w:bCs/>
                <w:sz w:val="22"/>
                <w:szCs w:val="22"/>
              </w:rPr>
              <w:t xml:space="preserve">  o Non Applicabile </w:t>
            </w:r>
            <w:r w:rsidRPr="00BB5EB3">
              <w:rPr>
                <w:rFonts w:asciiTheme="minorHAnsi" w:hAnsiTheme="minorHAnsi" w:cstheme="minorHAnsi"/>
                <w:b/>
                <w:bCs/>
                <w:sz w:val="22"/>
                <w:szCs w:val="22"/>
              </w:rPr>
              <w:t>(NA)</w:t>
            </w:r>
            <w:r w:rsidRPr="00BB5EB3">
              <w:rPr>
                <w:rFonts w:asciiTheme="minorHAnsi" w:hAnsiTheme="minorHAnsi" w:cstheme="minorHAnsi"/>
                <w:bCs/>
                <w:sz w:val="22"/>
                <w:szCs w:val="22"/>
              </w:rPr>
              <w:t xml:space="preserve">. </w:t>
            </w:r>
          </w:p>
          <w:p w14:paraId="45F5A38B" w14:textId="77777777" w:rsidR="00B83E18" w:rsidRPr="00BB5EB3" w:rsidRDefault="00B83E18" w:rsidP="0054413A">
            <w:pPr>
              <w:rPr>
                <w:rFonts w:asciiTheme="minorHAnsi" w:hAnsiTheme="minorHAnsi" w:cstheme="minorHAnsi"/>
                <w:bCs/>
                <w:sz w:val="22"/>
                <w:szCs w:val="22"/>
              </w:rPr>
            </w:pPr>
            <w:r w:rsidRPr="00BB5EB3">
              <w:rPr>
                <w:rFonts w:asciiTheme="minorHAnsi" w:hAnsiTheme="minorHAnsi" w:cstheme="minorHAnsi"/>
                <w:bCs/>
                <w:sz w:val="22"/>
                <w:szCs w:val="22"/>
              </w:rPr>
              <w:t xml:space="preserve">Utilizzare il campo "Documentazione di riferimento" per riportare i documenti visionati a supporto del controllo. </w:t>
            </w:r>
          </w:p>
          <w:p w14:paraId="7B8FE110" w14:textId="77777777" w:rsidR="00B83E18" w:rsidRDefault="00B83E18" w:rsidP="0054413A">
            <w:pPr>
              <w:rPr>
                <w:rFonts w:asciiTheme="minorHAnsi" w:hAnsiTheme="minorHAnsi" w:cstheme="minorHAnsi"/>
                <w:bCs/>
                <w:sz w:val="22"/>
                <w:szCs w:val="22"/>
              </w:rPr>
            </w:pPr>
            <w:r w:rsidRPr="00BB5EB3">
              <w:rPr>
                <w:rFonts w:asciiTheme="minorHAnsi" w:hAnsiTheme="minorHAnsi" w:cstheme="minorHAnsi"/>
                <w:bCs/>
                <w:sz w:val="22"/>
                <w:szCs w:val="22"/>
              </w:rPr>
              <w:t>Nel caso un punto di controllo non sia applicabile nell'ambito della verifica effettuata, indicare sempre la motivazione nel campo "Commenti".</w:t>
            </w:r>
          </w:p>
          <w:p w14:paraId="59BA0D49" w14:textId="77777777" w:rsidR="00222560" w:rsidRPr="00BB5EB3" w:rsidRDefault="00222560" w:rsidP="0080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rPr>
            </w:pPr>
          </w:p>
        </w:tc>
      </w:tr>
    </w:tbl>
    <w:p w14:paraId="7D0EEA97" w14:textId="77777777" w:rsidR="00B83E18" w:rsidRPr="00AB1C7E" w:rsidRDefault="00B83E18">
      <w:pPr>
        <w:spacing w:after="160" w:line="259" w:lineRule="auto"/>
        <w:rPr>
          <w:rFonts w:asciiTheme="minorHAnsi" w:hAnsiTheme="minorHAnsi" w:cstheme="minorHAnsi"/>
          <w:sz w:val="2"/>
        </w:rPr>
      </w:pPr>
    </w:p>
    <w:tbl>
      <w:tblPr>
        <w:tblStyle w:val="Grigliatabella"/>
        <w:tblW w:w="14031" w:type="dxa"/>
        <w:jc w:val="center"/>
        <w:tblLayout w:type="fixed"/>
        <w:tblLook w:val="04A0" w:firstRow="1" w:lastRow="0" w:firstColumn="1" w:lastColumn="0" w:noHBand="0" w:noVBand="1"/>
      </w:tblPr>
      <w:tblGrid>
        <w:gridCol w:w="4535"/>
        <w:gridCol w:w="1701"/>
        <w:gridCol w:w="2126"/>
        <w:gridCol w:w="1854"/>
        <w:gridCol w:w="3815"/>
      </w:tblGrid>
      <w:tr w:rsidR="000E29E3" w:rsidRPr="00AB1C7E" w14:paraId="5B03BE5A" w14:textId="77777777" w:rsidTr="0083618B">
        <w:trPr>
          <w:cantSplit/>
          <w:trHeight w:val="1159"/>
          <w:tblHeader/>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04A99C4" w14:textId="77777777" w:rsidR="00DA7401" w:rsidRPr="00BB5EB3" w:rsidDel="00F56E12" w:rsidRDefault="00DA7401" w:rsidP="00DA7401">
            <w:pPr>
              <w:pStyle w:val="Paragrafoelenco1"/>
              <w:ind w:left="360"/>
              <w:jc w:val="center"/>
              <w:rPr>
                <w:rFonts w:asciiTheme="minorHAnsi" w:hAnsiTheme="minorHAnsi" w:cstheme="minorHAnsi"/>
                <w:b/>
                <w:bCs/>
                <w:sz w:val="22"/>
                <w:szCs w:val="20"/>
              </w:rPr>
            </w:pPr>
            <w:r w:rsidRPr="00BB5EB3">
              <w:rPr>
                <w:rFonts w:asciiTheme="minorHAnsi" w:hAnsiTheme="minorHAnsi" w:cstheme="minorHAnsi"/>
                <w:b/>
                <w:bCs/>
                <w:sz w:val="22"/>
                <w:szCs w:val="20"/>
              </w:rPr>
              <w:t>Descrizione del controllo</w:t>
            </w:r>
          </w:p>
        </w:tc>
        <w:tc>
          <w:tcPr>
            <w:tcW w:w="1701"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08F9D83C" w14:textId="77777777" w:rsidR="00DA7401" w:rsidRPr="00BB5EB3" w:rsidRDefault="00DA7401" w:rsidP="00DA7401">
            <w:pPr>
              <w:jc w:val="center"/>
              <w:rPr>
                <w:rFonts w:asciiTheme="minorHAnsi" w:hAnsiTheme="minorHAnsi" w:cstheme="minorHAnsi"/>
                <w:b/>
                <w:bCs/>
                <w:i/>
                <w:iCs/>
                <w:sz w:val="22"/>
                <w:szCs w:val="20"/>
              </w:rPr>
            </w:pPr>
            <w:r w:rsidRPr="00BB5EB3">
              <w:rPr>
                <w:rFonts w:asciiTheme="minorHAnsi" w:hAnsiTheme="minorHAnsi" w:cstheme="minorHAnsi"/>
                <w:b/>
                <w:bCs/>
                <w:i/>
                <w:iCs/>
                <w:sz w:val="22"/>
                <w:szCs w:val="20"/>
              </w:rPr>
              <w:t>Positivo (Si) Negativo(No)</w:t>
            </w:r>
          </w:p>
          <w:p w14:paraId="73E93C14" w14:textId="77777777" w:rsidR="00DA7401" w:rsidRPr="00BB5EB3" w:rsidRDefault="00DA7401" w:rsidP="00DA7401">
            <w:pPr>
              <w:jc w:val="center"/>
              <w:rPr>
                <w:rFonts w:asciiTheme="minorHAnsi" w:hAnsiTheme="minorHAnsi" w:cstheme="minorHAnsi"/>
                <w:sz w:val="22"/>
                <w:szCs w:val="20"/>
              </w:rPr>
            </w:pPr>
            <w:r w:rsidRPr="00BB5EB3">
              <w:rPr>
                <w:rFonts w:asciiTheme="minorHAnsi" w:hAnsiTheme="minorHAnsi" w:cstheme="minorHAnsi"/>
                <w:b/>
                <w:bCs/>
                <w:i/>
                <w:iCs/>
                <w:sz w:val="22"/>
                <w:szCs w:val="20"/>
              </w:rPr>
              <w:t>Non applicabile (NA)</w:t>
            </w:r>
          </w:p>
        </w:tc>
        <w:tc>
          <w:tcPr>
            <w:tcW w:w="2126"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55B2B3A4" w14:textId="77777777" w:rsidR="00DA7401" w:rsidRPr="00BB5EB3" w:rsidRDefault="00DA7401" w:rsidP="00DA7401">
            <w:pPr>
              <w:jc w:val="center"/>
              <w:rPr>
                <w:rFonts w:asciiTheme="minorHAnsi" w:hAnsiTheme="minorHAnsi" w:cstheme="minorHAnsi"/>
                <w:sz w:val="22"/>
                <w:szCs w:val="20"/>
              </w:rPr>
            </w:pPr>
            <w:r w:rsidRPr="00BB5EB3">
              <w:rPr>
                <w:rFonts w:asciiTheme="minorHAnsi" w:hAnsiTheme="minorHAnsi" w:cstheme="minorHAnsi"/>
                <w:b/>
                <w:bCs/>
                <w:i/>
                <w:iCs/>
                <w:sz w:val="22"/>
                <w:szCs w:val="20"/>
              </w:rPr>
              <w:t>Documentazione di riferimento per il controllo</w:t>
            </w:r>
          </w:p>
        </w:tc>
        <w:tc>
          <w:tcPr>
            <w:tcW w:w="1854"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3A27577" w14:textId="77777777" w:rsidR="00DA7401" w:rsidRPr="00BB5EB3" w:rsidRDefault="00DA7401" w:rsidP="00DA7401">
            <w:pPr>
              <w:jc w:val="center"/>
              <w:rPr>
                <w:rFonts w:asciiTheme="minorHAnsi" w:hAnsiTheme="minorHAnsi" w:cstheme="minorHAnsi"/>
                <w:sz w:val="22"/>
                <w:szCs w:val="20"/>
              </w:rPr>
            </w:pPr>
            <w:r w:rsidRPr="00BB5EB3">
              <w:rPr>
                <w:rFonts w:asciiTheme="minorHAnsi" w:hAnsiTheme="minorHAnsi" w:cstheme="minorHAnsi"/>
                <w:b/>
                <w:bCs/>
                <w:i/>
                <w:iCs/>
                <w:sz w:val="22"/>
                <w:szCs w:val="20"/>
              </w:rPr>
              <w:t>Estremi della documentazione di riferimento</w:t>
            </w:r>
          </w:p>
        </w:tc>
        <w:tc>
          <w:tcPr>
            <w:tcW w:w="3815" w:type="dxa"/>
            <w:tcBorders>
              <w:top w:val="single" w:sz="18" w:space="0" w:color="BFBFBF"/>
              <w:left w:val="single" w:sz="18" w:space="0" w:color="BFBFBF"/>
              <w:bottom w:val="single" w:sz="18" w:space="0" w:color="BFBFBF"/>
              <w:right w:val="single" w:sz="18" w:space="0" w:color="BFBFBF"/>
            </w:tcBorders>
            <w:shd w:val="clear" w:color="auto" w:fill="95B3D7"/>
            <w:vAlign w:val="center"/>
          </w:tcPr>
          <w:p w14:paraId="4A813CBB" w14:textId="77777777" w:rsidR="00DA7401" w:rsidRPr="00BB5EB3" w:rsidRDefault="00DA7401" w:rsidP="00DA7401">
            <w:pPr>
              <w:jc w:val="center"/>
              <w:rPr>
                <w:rFonts w:asciiTheme="minorHAnsi" w:hAnsiTheme="minorHAnsi" w:cstheme="minorHAnsi"/>
                <w:sz w:val="22"/>
                <w:szCs w:val="20"/>
              </w:rPr>
            </w:pPr>
            <w:r w:rsidRPr="00BB5EB3">
              <w:rPr>
                <w:rFonts w:asciiTheme="minorHAnsi" w:hAnsiTheme="minorHAnsi" w:cstheme="minorHAnsi"/>
                <w:b/>
                <w:bCs/>
                <w:sz w:val="22"/>
                <w:szCs w:val="20"/>
              </w:rPr>
              <w:t>Commenti</w:t>
            </w:r>
          </w:p>
        </w:tc>
      </w:tr>
      <w:tr w:rsidR="00C71AC3" w:rsidRPr="00AB1C7E" w14:paraId="4CB7D4E3" w14:textId="77777777" w:rsidTr="008912E2">
        <w:trPr>
          <w:trHeight w:val="130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AA7C88" w14:textId="57AA50C6" w:rsidR="00C71AC3" w:rsidRPr="002674CC" w:rsidRDefault="000A2F45" w:rsidP="008912E2">
            <w:pPr>
              <w:pStyle w:val="Paragrafoelenco1"/>
              <w:numPr>
                <w:ilvl w:val="0"/>
                <w:numId w:val="1"/>
              </w:numPr>
              <w:spacing w:before="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Nel trasmettere la</w:t>
            </w:r>
            <w:r w:rsidR="00C71AC3">
              <w:rPr>
                <w:rFonts w:asciiTheme="minorHAnsi" w:hAnsiTheme="minorHAnsi" w:cstheme="minorHAnsi"/>
                <w:sz w:val="20"/>
                <w:szCs w:val="20"/>
              </w:rPr>
              <w:t xml:space="preserve"> documentazione necessaria all’approvazione della procedura</w:t>
            </w:r>
            <w:r>
              <w:rPr>
                <w:rFonts w:asciiTheme="minorHAnsi" w:hAnsiTheme="minorHAnsi" w:cstheme="minorHAnsi"/>
                <w:sz w:val="20"/>
                <w:szCs w:val="20"/>
              </w:rPr>
              <w:t>, il Beneficiario ha</w:t>
            </w:r>
            <w:r w:rsidR="00C71AC3">
              <w:rPr>
                <w:rFonts w:asciiTheme="minorHAnsi" w:hAnsiTheme="minorHAnsi" w:cstheme="minorHAnsi"/>
                <w:sz w:val="20"/>
                <w:szCs w:val="20"/>
              </w:rPr>
              <w:t xml:space="preserve"> indica</w:t>
            </w:r>
            <w:r>
              <w:rPr>
                <w:rFonts w:asciiTheme="minorHAnsi" w:hAnsiTheme="minorHAnsi" w:cstheme="minorHAnsi"/>
                <w:sz w:val="20"/>
                <w:szCs w:val="20"/>
              </w:rPr>
              <w:t>to</w:t>
            </w:r>
            <w:r w:rsidR="00C71AC3">
              <w:rPr>
                <w:rFonts w:asciiTheme="minorHAnsi" w:hAnsiTheme="minorHAnsi" w:cstheme="minorHAnsi"/>
                <w:sz w:val="20"/>
                <w:szCs w:val="20"/>
              </w:rPr>
              <w:t xml:space="preserve"> l’ufficio in cui è conservata la suddetta documentazione?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782E38" w14:textId="77777777" w:rsidR="00C71AC3" w:rsidRPr="00AB1C7E" w:rsidRDefault="00C71AC3"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91F8C2" w14:textId="3BE9ACD9" w:rsidR="00C71AC3" w:rsidRPr="00AB1C7E" w:rsidRDefault="00C71AC3" w:rsidP="006C4472">
            <w:pPr>
              <w:pStyle w:val="Paragrafoelenco"/>
              <w:ind w:left="176"/>
              <w:rPr>
                <w:rFonts w:asciiTheme="minorHAnsi" w:hAnsiTheme="minorHAnsi" w:cstheme="minorHAnsi"/>
                <w:sz w:val="20"/>
                <w:szCs w:val="20"/>
              </w:rPr>
            </w:pPr>
            <w:r>
              <w:rPr>
                <w:rFonts w:asciiTheme="minorHAnsi" w:hAnsiTheme="minorHAnsi" w:cstheme="minorHAnsi"/>
                <w:sz w:val="20"/>
                <w:szCs w:val="20"/>
              </w:rPr>
              <w:t xml:space="preserve">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00D8DC" w14:textId="77777777" w:rsidR="00C71AC3" w:rsidRPr="00AB1C7E" w:rsidRDefault="00C71AC3"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8C341A" w14:textId="77777777" w:rsidR="00C71AC3" w:rsidRPr="00AB1C7E" w:rsidRDefault="00C71AC3" w:rsidP="0054413A">
            <w:pPr>
              <w:rPr>
                <w:rFonts w:asciiTheme="minorHAnsi" w:hAnsiTheme="minorHAnsi" w:cstheme="minorHAnsi"/>
                <w:i/>
                <w:sz w:val="20"/>
                <w:szCs w:val="20"/>
              </w:rPr>
            </w:pPr>
          </w:p>
        </w:tc>
      </w:tr>
      <w:tr w:rsidR="005848B5" w:rsidRPr="00AB1C7E" w14:paraId="3B8204A5" w14:textId="77777777" w:rsidTr="0083618B">
        <w:trPr>
          <w:trHeight w:val="993"/>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6EE3A7" w14:textId="77777777" w:rsidR="005848B5" w:rsidRPr="00B90494" w:rsidRDefault="005848B5" w:rsidP="00CA653C">
            <w:pPr>
              <w:pStyle w:val="Paragrafoelenco1"/>
              <w:numPr>
                <w:ilvl w:val="0"/>
                <w:numId w:val="1"/>
              </w:numPr>
              <w:spacing w:before="120" w:line="276" w:lineRule="auto"/>
              <w:ind w:left="357" w:hanging="357"/>
              <w:jc w:val="both"/>
              <w:rPr>
                <w:rFonts w:asciiTheme="minorHAnsi" w:hAnsiTheme="minorHAnsi" w:cstheme="minorHAnsi"/>
                <w:sz w:val="20"/>
                <w:szCs w:val="20"/>
              </w:rPr>
            </w:pPr>
            <w:r w:rsidRPr="00B90494">
              <w:rPr>
                <w:rFonts w:asciiTheme="minorHAnsi" w:hAnsiTheme="minorHAnsi" w:cstheme="minorHAnsi"/>
                <w:sz w:val="20"/>
                <w:szCs w:val="20"/>
              </w:rPr>
              <w:t xml:space="preserve">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è coerente con quanto previsto nel Progetto approvato?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02059AF" w14:textId="77777777" w:rsidR="005848B5" w:rsidRPr="001B4AA8" w:rsidRDefault="005848B5" w:rsidP="0032449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1D4426" w14:textId="77777777" w:rsidR="005848B5" w:rsidRPr="001B4AA8" w:rsidRDefault="005848B5" w:rsidP="005848B5">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p w14:paraId="31CC3AC6" w14:textId="77777777" w:rsidR="005848B5" w:rsidRPr="001B4AA8" w:rsidRDefault="005848B5" w:rsidP="005848B5">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F79706" w14:textId="77777777" w:rsidR="005848B5" w:rsidRPr="001B4AA8" w:rsidRDefault="005848B5" w:rsidP="00324496">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697387" w14:textId="77777777" w:rsidR="005848B5" w:rsidRPr="001B4AA8" w:rsidRDefault="005848B5" w:rsidP="00324496">
            <w:pPr>
              <w:jc w:val="center"/>
              <w:rPr>
                <w:rFonts w:asciiTheme="minorHAnsi" w:hAnsiTheme="minorHAnsi" w:cstheme="minorHAnsi"/>
                <w:b/>
                <w:bCs/>
                <w:sz w:val="20"/>
                <w:szCs w:val="20"/>
              </w:rPr>
            </w:pPr>
          </w:p>
        </w:tc>
      </w:tr>
      <w:tr w:rsidR="005848B5" w:rsidRPr="00AB1C7E" w14:paraId="314DB19E" w14:textId="77777777" w:rsidTr="0083618B">
        <w:trPr>
          <w:trHeight w:val="993"/>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F90F6D" w14:textId="77777777" w:rsidR="005848B5" w:rsidRPr="00B90494" w:rsidRDefault="005848B5" w:rsidP="00561FD3">
            <w:pPr>
              <w:pStyle w:val="Paragrafoelenco1"/>
              <w:numPr>
                <w:ilvl w:val="0"/>
                <w:numId w:val="1"/>
              </w:numPr>
              <w:spacing w:before="120" w:line="276" w:lineRule="auto"/>
              <w:ind w:left="357" w:hanging="357"/>
              <w:jc w:val="both"/>
              <w:rPr>
                <w:rFonts w:asciiTheme="minorHAnsi" w:hAnsiTheme="minorHAnsi" w:cstheme="minorHAnsi"/>
                <w:sz w:val="20"/>
                <w:szCs w:val="20"/>
              </w:rPr>
            </w:pPr>
            <w:r w:rsidRPr="00B90494">
              <w:rPr>
                <w:rFonts w:asciiTheme="minorHAnsi" w:hAnsiTheme="minorHAnsi" w:cstheme="minorHAnsi"/>
                <w:sz w:val="20"/>
                <w:szCs w:val="20"/>
              </w:rPr>
              <w:t xml:space="preserve">Il prezzo posto a base d’asta (comprensivo di IVA) del contratto </w:t>
            </w:r>
            <w:r w:rsidR="00561FD3">
              <w:rPr>
                <w:rFonts w:asciiTheme="minorHAnsi" w:hAnsiTheme="minorHAnsi" w:cstheme="minorHAnsi"/>
                <w:sz w:val="20"/>
                <w:szCs w:val="20"/>
              </w:rPr>
              <w:t>da affidare</w:t>
            </w:r>
            <w:r w:rsidRPr="00B90494">
              <w:rPr>
                <w:rFonts w:asciiTheme="minorHAnsi" w:hAnsiTheme="minorHAnsi" w:cstheme="minorHAnsi"/>
                <w:sz w:val="20"/>
                <w:szCs w:val="20"/>
              </w:rPr>
              <w:t xml:space="preserve"> risulta conforme a quanto determinato nel budget finanziario di progetto?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D18823" w14:textId="77777777" w:rsidR="005848B5" w:rsidRPr="001B4AA8" w:rsidRDefault="005848B5" w:rsidP="0032449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76081C2" w14:textId="77777777" w:rsidR="005848B5" w:rsidRPr="001B4AA8" w:rsidRDefault="005848B5" w:rsidP="005848B5">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Progetto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5E9731" w14:textId="77777777" w:rsidR="005848B5" w:rsidRPr="001B4AA8" w:rsidRDefault="005848B5" w:rsidP="00324496">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DAF09D" w14:textId="77777777" w:rsidR="005848B5" w:rsidRPr="001B4AA8" w:rsidRDefault="005848B5" w:rsidP="00324496">
            <w:pPr>
              <w:jc w:val="center"/>
              <w:rPr>
                <w:rFonts w:asciiTheme="minorHAnsi" w:hAnsiTheme="minorHAnsi" w:cstheme="minorHAnsi"/>
                <w:b/>
                <w:bCs/>
                <w:sz w:val="20"/>
                <w:szCs w:val="20"/>
              </w:rPr>
            </w:pPr>
          </w:p>
        </w:tc>
      </w:tr>
      <w:tr w:rsidR="005848B5" w:rsidRPr="00AB1C7E" w14:paraId="60E831B1" w14:textId="77777777" w:rsidTr="0083618B">
        <w:trPr>
          <w:trHeight w:val="993"/>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A3DA89" w14:textId="77777777" w:rsidR="005848B5" w:rsidRPr="00B90494" w:rsidRDefault="005848B5" w:rsidP="00CA653C">
            <w:pPr>
              <w:pStyle w:val="Paragrafoelenco1"/>
              <w:numPr>
                <w:ilvl w:val="0"/>
                <w:numId w:val="1"/>
              </w:numPr>
              <w:spacing w:before="120" w:line="276" w:lineRule="auto"/>
              <w:ind w:left="357" w:hanging="357"/>
              <w:jc w:val="both"/>
              <w:rPr>
                <w:rFonts w:asciiTheme="minorHAnsi" w:hAnsiTheme="minorHAnsi" w:cstheme="minorHAnsi"/>
                <w:sz w:val="20"/>
                <w:szCs w:val="20"/>
              </w:rPr>
            </w:pPr>
            <w:r w:rsidRPr="00B90494">
              <w:rPr>
                <w:rFonts w:asciiTheme="minorHAnsi" w:hAnsiTheme="minorHAnsi" w:cstheme="minorHAnsi"/>
                <w:sz w:val="20"/>
                <w:szCs w:val="20"/>
              </w:rPr>
              <w:t xml:space="preserve">La spesa relativa all’oggetto del contratto </w:t>
            </w:r>
            <w:r>
              <w:rPr>
                <w:rFonts w:asciiTheme="minorHAnsi" w:hAnsiTheme="minorHAnsi" w:cstheme="minorHAnsi"/>
                <w:sz w:val="20"/>
                <w:szCs w:val="20"/>
              </w:rPr>
              <w:t xml:space="preserve">da affidare </w:t>
            </w:r>
            <w:r w:rsidRPr="00B90494">
              <w:rPr>
                <w:rFonts w:asciiTheme="minorHAnsi" w:hAnsiTheme="minorHAnsi" w:cstheme="minorHAnsi"/>
                <w:sz w:val="20"/>
                <w:szCs w:val="20"/>
              </w:rPr>
              <w:t>rientra tra le tipologie ammissibili secondo la normativa comunitaria e nazionale?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5036EF9" w14:textId="77777777" w:rsidR="005848B5" w:rsidRPr="001B4AA8" w:rsidRDefault="005848B5" w:rsidP="00324496">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C4F895" w14:textId="77777777" w:rsidR="005848B5" w:rsidRPr="001B4AA8" w:rsidRDefault="005848B5" w:rsidP="005848B5">
            <w:pPr>
              <w:pStyle w:val="Paragrafoelenco1"/>
              <w:numPr>
                <w:ilvl w:val="0"/>
                <w:numId w:val="6"/>
              </w:numPr>
              <w:ind w:left="159" w:hanging="159"/>
              <w:rPr>
                <w:rFonts w:asciiTheme="minorHAnsi" w:hAnsiTheme="minorHAnsi" w:cstheme="minorHAnsi"/>
                <w:sz w:val="20"/>
                <w:szCs w:val="20"/>
              </w:rPr>
            </w:pPr>
            <w:r w:rsidRPr="001B4AA8">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28159D2" w14:textId="77777777" w:rsidR="005848B5" w:rsidRPr="001B4AA8" w:rsidRDefault="005848B5" w:rsidP="00324496">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5FCA7E" w14:textId="77777777" w:rsidR="005848B5" w:rsidRPr="001B4AA8" w:rsidRDefault="005848B5" w:rsidP="00324496">
            <w:pPr>
              <w:jc w:val="center"/>
              <w:rPr>
                <w:rFonts w:asciiTheme="minorHAnsi" w:hAnsiTheme="minorHAnsi" w:cstheme="minorHAnsi"/>
                <w:b/>
                <w:bCs/>
                <w:sz w:val="20"/>
                <w:szCs w:val="20"/>
              </w:rPr>
            </w:pPr>
          </w:p>
        </w:tc>
      </w:tr>
      <w:tr w:rsidR="00C63EF4" w:rsidRPr="00AB1C7E" w14:paraId="56C07850" w14:textId="77777777" w:rsidTr="0083618B">
        <w:trPr>
          <w:trHeight w:val="993"/>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A311D2" w14:textId="77777777" w:rsidR="00C63EF4" w:rsidRPr="002674CC" w:rsidRDefault="00C63EF4" w:rsidP="008912E2">
            <w:pPr>
              <w:pStyle w:val="Paragrafoelenco1"/>
              <w:numPr>
                <w:ilvl w:val="0"/>
                <w:numId w:val="1"/>
              </w:numPr>
              <w:spacing w:before="120" w:line="276" w:lineRule="auto"/>
              <w:ind w:left="357" w:hanging="357"/>
              <w:jc w:val="both"/>
              <w:rPr>
                <w:rFonts w:asciiTheme="minorHAnsi" w:hAnsiTheme="minorHAnsi" w:cstheme="minorHAnsi"/>
                <w:sz w:val="20"/>
                <w:szCs w:val="20"/>
              </w:rPr>
            </w:pPr>
            <w:r w:rsidRPr="002674CC">
              <w:rPr>
                <w:rFonts w:asciiTheme="minorHAnsi" w:hAnsiTheme="minorHAnsi" w:cstheme="minorHAnsi"/>
                <w:sz w:val="20"/>
                <w:szCs w:val="20"/>
              </w:rPr>
              <w:lastRenderedPageBreak/>
              <w:t>Fino alla data di entrata in vigore del sistema di qualificazione delle stazioni appaltanti di cui all'articolo 38 del d.lgs. n. 50/2016, i requisiti di qualificazione della stazione appaltante sono soddisfatti mediante l'iscrizione all'anagrafe di cui all'articolo 33-ter del decreto-legge 18 ottobre 2012, n. 179, convertito, con modificazioni, dalla legge 17 dicembre 2012, n. 221?</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EF84BF" w14:textId="77777777" w:rsidR="00C63EF4" w:rsidRPr="00AB1C7E" w:rsidRDefault="00C63EF4"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C47CF7" w14:textId="77777777" w:rsidR="00C63EF4" w:rsidRPr="00AB1C7E" w:rsidRDefault="00C63EF4" w:rsidP="008D1704">
            <w:pPr>
              <w:pStyle w:val="Paragrafoelenco"/>
              <w:numPr>
                <w:ilvl w:val="0"/>
                <w:numId w:val="5"/>
              </w:numPr>
              <w:ind w:left="176" w:hanging="176"/>
              <w:rPr>
                <w:rFonts w:asciiTheme="minorHAnsi" w:hAnsiTheme="minorHAnsi" w:cstheme="minorHAnsi"/>
                <w:sz w:val="20"/>
                <w:szCs w:val="20"/>
              </w:rPr>
            </w:pPr>
            <w:r w:rsidRPr="00AB1C7E">
              <w:rPr>
                <w:rFonts w:asciiTheme="minorHAnsi" w:hAnsiTheme="minorHAnsi" w:cstheme="minorHAnsi"/>
                <w:sz w:val="20"/>
                <w:szCs w:val="20"/>
              </w:rPr>
              <w:t>Iscrizione all’Anagrafe unica delle Stazioni Appaltanti</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FAC097" w14:textId="77777777" w:rsidR="00C63EF4" w:rsidRPr="00AB1C7E" w:rsidRDefault="00C63EF4"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BAFE74" w14:textId="77777777" w:rsidR="00C63EF4" w:rsidRPr="00AB1C7E" w:rsidRDefault="00C63EF4" w:rsidP="0054413A">
            <w:pPr>
              <w:rPr>
                <w:rFonts w:asciiTheme="minorHAnsi" w:hAnsiTheme="minorHAnsi" w:cstheme="minorHAnsi"/>
                <w:i/>
                <w:sz w:val="20"/>
                <w:szCs w:val="20"/>
              </w:rPr>
            </w:pPr>
          </w:p>
        </w:tc>
      </w:tr>
      <w:tr w:rsidR="00563AB8" w:rsidRPr="00AB1C7E" w14:paraId="439EFC17" w14:textId="77777777" w:rsidTr="0083618B">
        <w:trPr>
          <w:trHeight w:val="161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0D4880B" w14:textId="77777777" w:rsidR="00563AB8" w:rsidRPr="002674CC" w:rsidRDefault="00563AB8" w:rsidP="008912E2">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La determina/decreto a contrarre contiene le seguenti informazioni?</w:t>
            </w:r>
          </w:p>
          <w:p w14:paraId="6473CA3D" w14:textId="68D5146D"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el</w:t>
            </w:r>
            <w:r w:rsidR="00C71AC3">
              <w:rPr>
                <w:rFonts w:asciiTheme="minorHAnsi" w:hAnsiTheme="minorHAnsi" w:cstheme="minorHAnsi"/>
                <w:sz w:val="20"/>
                <w:szCs w:val="20"/>
              </w:rPr>
              <w:t>ementi essenziali del contratto,</w:t>
            </w:r>
            <w:r w:rsidRPr="002674CC">
              <w:rPr>
                <w:rFonts w:asciiTheme="minorHAnsi" w:hAnsiTheme="minorHAnsi" w:cstheme="minorHAnsi"/>
                <w:sz w:val="20"/>
                <w:szCs w:val="20"/>
              </w:rPr>
              <w:t xml:space="preserve"> prezzo</w:t>
            </w:r>
            <w:r w:rsidR="00EC00EA">
              <w:rPr>
                <w:rStyle w:val="Rimandonotadichiusura"/>
                <w:rFonts w:asciiTheme="minorHAnsi" w:hAnsiTheme="minorHAnsi" w:cstheme="minorHAnsi"/>
                <w:sz w:val="20"/>
                <w:szCs w:val="20"/>
              </w:rPr>
              <w:endnoteReference w:id="1"/>
            </w:r>
            <w:r w:rsidRPr="002674CC">
              <w:rPr>
                <w:rFonts w:asciiTheme="minorHAnsi" w:hAnsiTheme="minorHAnsi" w:cstheme="minorHAnsi"/>
                <w:sz w:val="20"/>
                <w:szCs w:val="20"/>
              </w:rPr>
              <w:t>, oggetto e forma;</w:t>
            </w:r>
          </w:p>
          <w:p w14:paraId="4922617F" w14:textId="77777777" w:rsidR="00563AB8" w:rsidRPr="002674CC" w:rsidRDefault="00563AB8" w:rsidP="008912E2">
            <w:pPr>
              <w:pStyle w:val="Paragrafoelenco1"/>
              <w:numPr>
                <w:ilvl w:val="0"/>
                <w:numId w:val="2"/>
              </w:numPr>
              <w:tabs>
                <w:tab w:val="left" w:pos="743"/>
              </w:tabs>
              <w:spacing w:before="120" w:line="276" w:lineRule="auto"/>
              <w:ind w:left="753" w:hanging="283"/>
              <w:jc w:val="both"/>
              <w:rPr>
                <w:rFonts w:asciiTheme="minorHAnsi" w:hAnsiTheme="minorHAnsi" w:cstheme="minorHAnsi"/>
                <w:sz w:val="20"/>
                <w:szCs w:val="20"/>
              </w:rPr>
            </w:pPr>
            <w:r w:rsidRPr="002674CC">
              <w:rPr>
                <w:rFonts w:asciiTheme="minorHAnsi" w:hAnsiTheme="minorHAnsi" w:cstheme="minorHAnsi"/>
                <w:sz w:val="20"/>
                <w:szCs w:val="20"/>
              </w:rPr>
              <w:t>tipologia di procedura di gara</w:t>
            </w:r>
            <w:r w:rsidR="00C63EF4" w:rsidRPr="002674CC">
              <w:rPr>
                <w:rFonts w:asciiTheme="minorHAnsi" w:hAnsiTheme="minorHAnsi" w:cstheme="minorHAnsi"/>
                <w:sz w:val="20"/>
                <w:szCs w:val="20"/>
              </w:rPr>
              <w:t xml:space="preserve"> ai sensi dell’art. 55 del d.lgs. n. 50/2016 per acquisti di uso corrente, le cui caratteristiche, così come generalmente disponibili sul mercato, soddisfano le esig</w:t>
            </w:r>
            <w:r w:rsidR="00C71AC3">
              <w:rPr>
                <w:rFonts w:asciiTheme="minorHAnsi" w:hAnsiTheme="minorHAnsi" w:cstheme="minorHAnsi"/>
                <w:sz w:val="20"/>
                <w:szCs w:val="20"/>
              </w:rPr>
              <w:t>enze delle stazioni appaltanti;</w:t>
            </w:r>
          </w:p>
          <w:p w14:paraId="47032F16"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criteri di selezione degli operatori economici (eventuale iscr</w:t>
            </w:r>
            <w:r w:rsidR="00912DCD">
              <w:rPr>
                <w:rFonts w:asciiTheme="minorHAnsi" w:hAnsiTheme="minorHAnsi" w:cstheme="minorHAnsi"/>
                <w:sz w:val="20"/>
                <w:szCs w:val="20"/>
              </w:rPr>
              <w:t>izione a registri professionali,</w:t>
            </w:r>
            <w:r w:rsidRPr="002674CC">
              <w:rPr>
                <w:rFonts w:asciiTheme="minorHAnsi" w:hAnsiTheme="minorHAnsi" w:cstheme="minorHAnsi"/>
                <w:sz w:val="20"/>
                <w:szCs w:val="20"/>
              </w:rPr>
              <w:t xml:space="preserve"> economici e/o tecnici);</w:t>
            </w:r>
          </w:p>
          <w:p w14:paraId="603232AF"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criteri di aggiudicazione delle offerte;</w:t>
            </w:r>
          </w:p>
          <w:p w14:paraId="00CF5FA9"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 xml:space="preserve">congrua motivazione circa l'eventuale inserimento, nella documentazione di gara, </w:t>
            </w:r>
            <w:r w:rsidRPr="002674CC">
              <w:rPr>
                <w:rFonts w:asciiTheme="minorHAnsi" w:hAnsiTheme="minorHAnsi" w:cstheme="minorHAnsi"/>
                <w:sz w:val="20"/>
                <w:szCs w:val="20"/>
              </w:rPr>
              <w:lastRenderedPageBreak/>
              <w:t xml:space="preserve">di un fatturato minimo annuo nel rispetto delle soglie massime indicate (art. 83, comma 4 e 5 del </w:t>
            </w:r>
            <w:proofErr w:type="spellStart"/>
            <w:r w:rsidRPr="002674CC">
              <w:rPr>
                <w:rFonts w:asciiTheme="minorHAnsi" w:hAnsiTheme="minorHAnsi" w:cstheme="minorHAnsi"/>
                <w:sz w:val="20"/>
                <w:szCs w:val="20"/>
              </w:rPr>
              <w:t>D.Lgs.</w:t>
            </w:r>
            <w:proofErr w:type="spellEnd"/>
            <w:r w:rsidRPr="002674CC">
              <w:rPr>
                <w:rFonts w:asciiTheme="minorHAnsi" w:hAnsiTheme="minorHAnsi" w:cstheme="minorHAnsi"/>
                <w:sz w:val="20"/>
                <w:szCs w:val="20"/>
              </w:rPr>
              <w:t xml:space="preserve"> 50/2016);</w:t>
            </w:r>
          </w:p>
          <w:p w14:paraId="2E958214"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 xml:space="preserve">la motivazione nel caso di mancata suddivisione dell’appalto in lotti funzionali ai sensi dell’art. 3, comma 1, lett. </w:t>
            </w:r>
            <w:proofErr w:type="spellStart"/>
            <w:r w:rsidRPr="002674CC">
              <w:rPr>
                <w:rFonts w:asciiTheme="minorHAnsi" w:hAnsiTheme="minorHAnsi" w:cstheme="minorHAnsi"/>
                <w:sz w:val="20"/>
                <w:szCs w:val="20"/>
              </w:rPr>
              <w:t>qq</w:t>
            </w:r>
            <w:proofErr w:type="spellEnd"/>
            <w:r w:rsidRPr="002674CC">
              <w:rPr>
                <w:rFonts w:asciiTheme="minorHAnsi" w:hAnsiTheme="minorHAnsi" w:cstheme="minorHAnsi"/>
                <w:sz w:val="20"/>
                <w:szCs w:val="20"/>
              </w:rPr>
              <w:t xml:space="preserve"> del D.lgs. 50/2016 e in lotti pre</w:t>
            </w:r>
            <w:r w:rsidR="00C71AC3">
              <w:rPr>
                <w:rFonts w:asciiTheme="minorHAnsi" w:hAnsiTheme="minorHAnsi" w:cstheme="minorHAnsi"/>
                <w:sz w:val="20"/>
                <w:szCs w:val="20"/>
              </w:rPr>
              <w:t>stazionali ai sensi dell’art. 3 c</w:t>
            </w:r>
            <w:r w:rsidRPr="002674CC">
              <w:rPr>
                <w:rFonts w:asciiTheme="minorHAnsi" w:hAnsiTheme="minorHAnsi" w:cstheme="minorHAnsi"/>
                <w:sz w:val="20"/>
                <w:szCs w:val="20"/>
              </w:rPr>
              <w:t xml:space="preserve">omma 1 lett. </w:t>
            </w:r>
            <w:proofErr w:type="spellStart"/>
            <w:r w:rsidRPr="002674CC">
              <w:rPr>
                <w:rFonts w:asciiTheme="minorHAnsi" w:hAnsiTheme="minorHAnsi" w:cstheme="minorHAnsi"/>
                <w:sz w:val="20"/>
                <w:szCs w:val="20"/>
              </w:rPr>
              <w:t>ggggg</w:t>
            </w:r>
            <w:proofErr w:type="spellEnd"/>
            <w:r w:rsidRPr="002674CC">
              <w:rPr>
                <w:rFonts w:asciiTheme="minorHAnsi" w:hAnsiTheme="minorHAnsi" w:cstheme="minorHAnsi"/>
                <w:sz w:val="20"/>
                <w:szCs w:val="20"/>
              </w:rPr>
              <w:t xml:space="preserve"> del </w:t>
            </w:r>
            <w:proofErr w:type="spellStart"/>
            <w:r w:rsidRPr="002674CC">
              <w:rPr>
                <w:rFonts w:asciiTheme="minorHAnsi" w:hAnsiTheme="minorHAnsi" w:cstheme="minorHAnsi"/>
                <w:sz w:val="20"/>
                <w:szCs w:val="20"/>
              </w:rPr>
              <w:t>D.Lgs.</w:t>
            </w:r>
            <w:proofErr w:type="spellEnd"/>
            <w:r w:rsidRPr="002674CC">
              <w:rPr>
                <w:rFonts w:asciiTheme="minorHAnsi" w:hAnsiTheme="minorHAnsi" w:cstheme="minorHAnsi"/>
                <w:sz w:val="20"/>
                <w:szCs w:val="20"/>
              </w:rPr>
              <w:t xml:space="preserve"> 10/2016, come previsto dall’art. 51 del D.lgs. 50/2016;</w:t>
            </w:r>
          </w:p>
          <w:p w14:paraId="38AC0F23"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t>per gli acquisti di beni e servizi informatici e di connettività di cui all’art. 1, comma 512, L. 208/2015 (Legge di stabilità) e fermi restando gli obblighi di acquisizione centralizzata previsti per i beni e servizi dalla normativa vigente, nell’ipotesi di approvvigionamenti al di fuori delle modalità di cui ai commi 512 e 514, è stata ottenuta apposita autorizzazione motivata dell'organo di vertice amministrativo? La motivazione fa riferimento ai casi di bene o servizio non disponibile o idoneo al soddisfacimento dello specifico fabbisogno dell'amministrazione ovvero ai casi di necessità ed urgenza comunque funzionali ad assicurare la continuità della gestione amministrativa?</w:t>
            </w:r>
          </w:p>
          <w:p w14:paraId="3BCD76D6" w14:textId="77777777" w:rsidR="00563AB8" w:rsidRPr="002674CC" w:rsidRDefault="00563AB8"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sidRPr="002674CC">
              <w:rPr>
                <w:rFonts w:asciiTheme="minorHAnsi" w:hAnsiTheme="minorHAnsi" w:cstheme="minorHAnsi"/>
                <w:sz w:val="20"/>
                <w:szCs w:val="20"/>
              </w:rPr>
              <w:lastRenderedPageBreak/>
              <w:t xml:space="preserve"> la motivazione delle Amministrazioni centrali circa il mancato ricorso a Convenzioni Consip?</w:t>
            </w:r>
          </w:p>
          <w:p w14:paraId="5454CC0E" w14:textId="77777777" w:rsidR="004C6E0D" w:rsidRPr="002674CC" w:rsidRDefault="00561FD3" w:rsidP="008912E2">
            <w:pPr>
              <w:pStyle w:val="Paragrafoelenco1"/>
              <w:numPr>
                <w:ilvl w:val="0"/>
                <w:numId w:val="2"/>
              </w:numPr>
              <w:tabs>
                <w:tab w:val="left" w:pos="743"/>
              </w:tabs>
              <w:spacing w:before="120" w:line="276" w:lineRule="auto"/>
              <w:ind w:left="743" w:hanging="284"/>
              <w:jc w:val="both"/>
              <w:rPr>
                <w:rFonts w:asciiTheme="minorHAnsi" w:hAnsiTheme="minorHAnsi" w:cstheme="minorHAnsi"/>
                <w:sz w:val="20"/>
                <w:szCs w:val="20"/>
              </w:rPr>
            </w:pPr>
            <w:r>
              <w:rPr>
                <w:rFonts w:asciiTheme="minorHAnsi" w:hAnsiTheme="minorHAnsi" w:cstheme="minorHAnsi"/>
                <w:sz w:val="20"/>
                <w:szCs w:val="20"/>
              </w:rPr>
              <w:t>m</w:t>
            </w:r>
            <w:r w:rsidR="00563AB8" w:rsidRPr="002674CC">
              <w:rPr>
                <w:rFonts w:asciiTheme="minorHAnsi" w:hAnsiTheme="minorHAnsi" w:cstheme="minorHAnsi"/>
                <w:sz w:val="20"/>
                <w:szCs w:val="20"/>
              </w:rPr>
              <w:t>otivazione del mancato ricorso al Mercato Elettronico in caso di affidamenti sotto la soglia comunitaria?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4250688" w14:textId="77777777" w:rsidR="00563AB8" w:rsidRPr="00AB1C7E" w:rsidRDefault="00563AB8" w:rsidP="0054413A">
            <w:pPr>
              <w:tabs>
                <w:tab w:val="left" w:pos="176"/>
              </w:tabs>
              <w:ind w:right="98"/>
              <w:rPr>
                <w:rFonts w:asciiTheme="minorHAnsi" w:hAnsiTheme="minorHAnsi" w:cstheme="minorHAnsi"/>
                <w:b/>
                <w:bCs/>
                <w:iCs/>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787A41" w14:textId="77777777" w:rsidR="00D95C2B" w:rsidRPr="00AB1C7E" w:rsidRDefault="00D95C2B"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Determina a </w:t>
            </w:r>
            <w:r w:rsidR="007B0710" w:rsidRPr="00AB1C7E">
              <w:rPr>
                <w:rFonts w:asciiTheme="minorHAnsi" w:hAnsiTheme="minorHAnsi" w:cstheme="minorHAnsi"/>
                <w:sz w:val="20"/>
                <w:szCs w:val="20"/>
              </w:rPr>
              <w:t>contrarre</w:t>
            </w:r>
          </w:p>
          <w:p w14:paraId="47F6EA34" w14:textId="77777777" w:rsidR="00563AB8" w:rsidRPr="00AB1C7E" w:rsidRDefault="00563AB8"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Decreto di segretazione</w:t>
            </w:r>
          </w:p>
          <w:p w14:paraId="66839784" w14:textId="77777777" w:rsidR="00563AB8" w:rsidRPr="00AB1C7E" w:rsidRDefault="00563AB8" w:rsidP="008D1704">
            <w:pPr>
              <w:pStyle w:val="Paragrafoelenco"/>
              <w:numPr>
                <w:ilvl w:val="0"/>
                <w:numId w:val="6"/>
              </w:numPr>
              <w:ind w:left="176" w:hanging="219"/>
              <w:rPr>
                <w:rFonts w:asciiTheme="minorHAnsi" w:hAnsiTheme="minorHAnsi" w:cstheme="minorHAnsi"/>
                <w:b/>
                <w:bCs/>
                <w:i/>
                <w:iCs/>
                <w:sz w:val="20"/>
                <w:szCs w:val="20"/>
              </w:rPr>
            </w:pPr>
            <w:r w:rsidRPr="00AB1C7E">
              <w:rPr>
                <w:rFonts w:asciiTheme="minorHAnsi" w:hAnsiTheme="minorHAnsi" w:cstheme="minorHAnsi"/>
                <w:sz w:val="20"/>
                <w:szCs w:val="20"/>
              </w:rPr>
              <w:t xml:space="preserve">Disciplinare di gara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589FDB"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tcPr>
          <w:p w14:paraId="1FF98CE5" w14:textId="77777777" w:rsidR="00563AB8" w:rsidRPr="00AB1C7E" w:rsidRDefault="00563AB8" w:rsidP="00EB19F4">
            <w:pPr>
              <w:rPr>
                <w:rFonts w:asciiTheme="minorHAnsi" w:hAnsiTheme="minorHAnsi" w:cstheme="minorHAnsi"/>
                <w:b/>
                <w:bCs/>
                <w:sz w:val="20"/>
                <w:szCs w:val="20"/>
              </w:rPr>
            </w:pPr>
          </w:p>
        </w:tc>
      </w:tr>
      <w:tr w:rsidR="00563AB8" w:rsidRPr="00AB1C7E" w14:paraId="5163A17A" w14:textId="77777777" w:rsidTr="008912E2">
        <w:trPr>
          <w:trHeight w:val="130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39E276" w14:textId="77777777" w:rsidR="00563AB8" w:rsidRPr="002674CC" w:rsidRDefault="00563AB8" w:rsidP="00C1038C">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lastRenderedPageBreak/>
              <w:t xml:space="preserve">La stazione appaltante ha nominato il Responsabile </w:t>
            </w:r>
            <w:r w:rsidR="00C1038C">
              <w:rPr>
                <w:rFonts w:asciiTheme="minorHAnsi" w:hAnsiTheme="minorHAnsi" w:cstheme="minorHAnsi"/>
                <w:sz w:val="20"/>
                <w:szCs w:val="20"/>
              </w:rPr>
              <w:t xml:space="preserve">unico </w:t>
            </w:r>
            <w:r w:rsidRPr="002674CC">
              <w:rPr>
                <w:rFonts w:asciiTheme="minorHAnsi" w:hAnsiTheme="minorHAnsi" w:cstheme="minorHAnsi"/>
                <w:sz w:val="20"/>
                <w:szCs w:val="20"/>
              </w:rPr>
              <w:t>del</w:t>
            </w:r>
            <w:r w:rsidR="00C1038C">
              <w:rPr>
                <w:rFonts w:asciiTheme="minorHAnsi" w:hAnsiTheme="minorHAnsi" w:cstheme="minorHAnsi"/>
                <w:sz w:val="20"/>
                <w:szCs w:val="20"/>
              </w:rPr>
              <w:t xml:space="preserve"> procedimento </w:t>
            </w:r>
            <w:r w:rsidRPr="002674CC">
              <w:rPr>
                <w:rFonts w:asciiTheme="minorHAnsi" w:hAnsiTheme="minorHAnsi" w:cstheme="minorHAnsi"/>
                <w:sz w:val="20"/>
                <w:szCs w:val="20"/>
              </w:rPr>
              <w:t xml:space="preserve">ai sensi dell’art. 31, comma 1 del </w:t>
            </w:r>
            <w:proofErr w:type="spellStart"/>
            <w:r w:rsidRPr="002674CC">
              <w:rPr>
                <w:rFonts w:asciiTheme="minorHAnsi" w:hAnsiTheme="minorHAnsi" w:cstheme="minorHAnsi"/>
                <w:sz w:val="20"/>
                <w:szCs w:val="20"/>
              </w:rPr>
              <w:t>D.Lgs.</w:t>
            </w:r>
            <w:proofErr w:type="spellEnd"/>
            <w:r w:rsidRPr="002674CC">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8B1961E" w14:textId="77777777" w:rsidR="00563AB8" w:rsidRPr="00AB1C7E" w:rsidRDefault="00563AB8" w:rsidP="0054413A">
            <w:pPr>
              <w:tabs>
                <w:tab w:val="left" w:pos="478"/>
              </w:tabs>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D8E127" w14:textId="77777777" w:rsidR="00563AB8" w:rsidRPr="00AB1C7E" w:rsidRDefault="00563AB8"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Atto di nomina del RUP</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42705B"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DD2F12" w14:textId="77777777" w:rsidR="00563AB8" w:rsidRPr="00AB1C7E" w:rsidRDefault="00563AB8" w:rsidP="0054413A">
            <w:pPr>
              <w:rPr>
                <w:rFonts w:asciiTheme="minorHAnsi" w:hAnsiTheme="minorHAnsi" w:cstheme="minorHAnsi"/>
                <w:b/>
                <w:bCs/>
                <w:sz w:val="20"/>
                <w:szCs w:val="20"/>
              </w:rPr>
            </w:pPr>
          </w:p>
        </w:tc>
      </w:tr>
      <w:tr w:rsidR="00563AB8" w:rsidRPr="00AB1C7E" w14:paraId="746EDC81" w14:textId="77777777" w:rsidTr="008912E2">
        <w:trPr>
          <w:trHeight w:val="170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369A49" w14:textId="77777777" w:rsidR="00563AB8" w:rsidRPr="002674CC" w:rsidRDefault="00563AB8" w:rsidP="002674CC">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Sono stati acquisiti</w:t>
            </w:r>
          </w:p>
          <w:p w14:paraId="27C9E1F9" w14:textId="77777777" w:rsidR="00563AB8" w:rsidRPr="002674CC" w:rsidRDefault="00563AB8" w:rsidP="002674CC">
            <w:pPr>
              <w:pStyle w:val="Paragrafoelenco1"/>
              <w:numPr>
                <w:ilvl w:val="0"/>
                <w:numId w:val="7"/>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Il CIG?</w:t>
            </w:r>
          </w:p>
          <w:p w14:paraId="06EEE640" w14:textId="77777777" w:rsidR="00563AB8" w:rsidRPr="002674CC" w:rsidRDefault="00563AB8" w:rsidP="002674CC">
            <w:pPr>
              <w:pStyle w:val="Paragrafoelenco1"/>
              <w:numPr>
                <w:ilvl w:val="0"/>
                <w:numId w:val="7"/>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Il CUP?</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03E218" w14:textId="77777777" w:rsidR="00563AB8" w:rsidRPr="00AB1C7E" w:rsidRDefault="00563AB8" w:rsidP="0054413A">
            <w:pPr>
              <w:tabs>
                <w:tab w:val="left" w:pos="478"/>
              </w:tabs>
              <w:rPr>
                <w:rFonts w:asciiTheme="minorHAnsi" w:hAnsiTheme="minorHAnsi" w:cstheme="minorHAnsi"/>
                <w:sz w:val="20"/>
                <w:szCs w:val="20"/>
              </w:rPr>
            </w:pPr>
            <w:r w:rsidRPr="00AB1C7E">
              <w:rPr>
                <w:rFonts w:asciiTheme="minorHAnsi" w:hAnsiTheme="minorHAnsi" w:cstheme="minorHAnsi"/>
                <w:sz w:val="20"/>
                <w:szCs w:val="20"/>
              </w:rPr>
              <w:t xml:space="preserve"> </w:t>
            </w: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057914" w14:textId="77777777" w:rsidR="00563AB8" w:rsidRPr="00AB1C7E" w:rsidRDefault="00563AB8" w:rsidP="0054413A">
            <w:pPr>
              <w:pStyle w:val="Paragrafoelenco1"/>
              <w:ind w:left="0"/>
              <w:rPr>
                <w:rFonts w:asciiTheme="minorHAnsi" w:hAnsiTheme="minorHAnsi" w:cstheme="minorHAnsi"/>
                <w:sz w:val="20"/>
                <w:szCs w:val="20"/>
              </w:rPr>
            </w:pPr>
            <w:r w:rsidRPr="00AB1C7E">
              <w:rPr>
                <w:rFonts w:asciiTheme="minorHAnsi" w:hAnsiTheme="minorHAnsi" w:cstheme="minorHAnsi"/>
                <w:sz w:val="20"/>
                <w:szCs w:val="20"/>
              </w:rPr>
              <w:t xml:space="preserve">CIG </w:t>
            </w:r>
          </w:p>
          <w:p w14:paraId="2302BD3F" w14:textId="77777777" w:rsidR="00563AB8" w:rsidRPr="00AB1C7E" w:rsidRDefault="00563AB8" w:rsidP="00B425C1">
            <w:pPr>
              <w:pStyle w:val="Paragrafoelenco1"/>
              <w:ind w:left="0"/>
              <w:rPr>
                <w:rFonts w:asciiTheme="minorHAnsi" w:hAnsiTheme="minorHAnsi" w:cstheme="minorHAnsi"/>
                <w:sz w:val="20"/>
                <w:szCs w:val="20"/>
              </w:rPr>
            </w:pPr>
            <w:r w:rsidRPr="00AB1C7E">
              <w:rPr>
                <w:rFonts w:asciiTheme="minorHAnsi" w:hAnsiTheme="minorHAnsi" w:cstheme="minorHAnsi"/>
                <w:sz w:val="20"/>
                <w:szCs w:val="20"/>
              </w:rPr>
              <w:t xml:space="preserve">CUP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B22F094"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743DAC" w14:textId="77777777" w:rsidR="00563AB8" w:rsidRPr="00AB1C7E" w:rsidRDefault="00563AB8" w:rsidP="0054413A">
            <w:pPr>
              <w:rPr>
                <w:rFonts w:asciiTheme="minorHAnsi" w:hAnsiTheme="minorHAnsi" w:cstheme="minorHAnsi"/>
                <w:b/>
                <w:bCs/>
                <w:sz w:val="20"/>
                <w:szCs w:val="20"/>
              </w:rPr>
            </w:pPr>
            <w:r w:rsidRPr="00AB1C7E">
              <w:rPr>
                <w:rFonts w:asciiTheme="minorHAnsi" w:hAnsiTheme="minorHAnsi" w:cstheme="minorHAnsi"/>
                <w:i/>
                <w:sz w:val="20"/>
                <w:szCs w:val="20"/>
              </w:rPr>
              <w:t>Si ricorda che in caso di presenza di più lotti, ovvero di una pluralità di acquisti a valere su un unico progetto effettuati tramite RDO e ODA, devono essere acquisiti CIG distinti</w:t>
            </w:r>
          </w:p>
        </w:tc>
      </w:tr>
      <w:tr w:rsidR="00563AB8" w:rsidRPr="00AB1C7E" w14:paraId="59772FAA" w14:textId="77777777" w:rsidTr="008912E2">
        <w:trPr>
          <w:trHeight w:val="232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0E25B7" w14:textId="77777777" w:rsidR="00563AB8" w:rsidRPr="002674CC" w:rsidRDefault="00563AB8" w:rsidP="002674CC">
            <w:pPr>
              <w:pStyle w:val="Paragrafoelenco1"/>
              <w:numPr>
                <w:ilvl w:val="0"/>
                <w:numId w:val="1"/>
              </w:numPr>
              <w:spacing w:before="120" w:after="120" w:line="276" w:lineRule="auto"/>
              <w:ind w:left="357" w:hanging="357"/>
              <w:jc w:val="both"/>
              <w:rPr>
                <w:rFonts w:asciiTheme="minorHAnsi" w:hAnsiTheme="minorHAnsi" w:cstheme="minorHAnsi"/>
                <w:sz w:val="20"/>
                <w:szCs w:val="20"/>
                <w:u w:val="single"/>
              </w:rPr>
            </w:pPr>
            <w:r w:rsidRPr="002674CC">
              <w:rPr>
                <w:rFonts w:asciiTheme="minorHAnsi" w:hAnsiTheme="minorHAnsi" w:cstheme="minorHAnsi"/>
                <w:sz w:val="20"/>
                <w:szCs w:val="20"/>
              </w:rPr>
              <w:t>La documentazione relativa all’affidamento (lettera di invito/capitolato/avviso/ecc.) menziona:</w:t>
            </w:r>
          </w:p>
          <w:p w14:paraId="25C9CA34" w14:textId="58CE29AE" w:rsidR="00563AB8" w:rsidRPr="005D5876" w:rsidRDefault="00563AB8" w:rsidP="001F38A5">
            <w:pPr>
              <w:numPr>
                <w:ilvl w:val="0"/>
                <w:numId w:val="8"/>
              </w:numPr>
              <w:tabs>
                <w:tab w:val="clear" w:pos="720"/>
              </w:tabs>
              <w:spacing w:before="120" w:line="276" w:lineRule="auto"/>
              <w:ind w:left="885" w:hanging="426"/>
              <w:jc w:val="both"/>
              <w:rPr>
                <w:rFonts w:asciiTheme="minorHAnsi" w:hAnsiTheme="minorHAnsi" w:cstheme="minorHAnsi"/>
                <w:sz w:val="20"/>
                <w:szCs w:val="20"/>
              </w:rPr>
            </w:pPr>
            <w:r w:rsidRPr="002674CC">
              <w:rPr>
                <w:rFonts w:asciiTheme="minorHAnsi" w:hAnsiTheme="minorHAnsi" w:cstheme="minorHAnsi"/>
                <w:sz w:val="20"/>
                <w:szCs w:val="20"/>
              </w:rPr>
              <w:t xml:space="preserve">il cofinanziamento da parte del </w:t>
            </w:r>
            <w:r w:rsidR="00752ADA">
              <w:rPr>
                <w:rFonts w:asciiTheme="minorHAnsi" w:hAnsiTheme="minorHAnsi" w:cstheme="minorHAnsi"/>
                <w:sz w:val="20"/>
                <w:szCs w:val="20"/>
              </w:rPr>
              <w:t>PN BMVI</w:t>
            </w:r>
            <w:r w:rsidR="00172842">
              <w:rPr>
                <w:rFonts w:asciiTheme="minorHAnsi" w:hAnsiTheme="minorHAnsi" w:cstheme="minorHAnsi"/>
                <w:sz w:val="20"/>
                <w:szCs w:val="20"/>
              </w:rPr>
              <w:t xml:space="preserve"> o ISF</w:t>
            </w:r>
            <w:r w:rsidR="00752ADA">
              <w:rPr>
                <w:rFonts w:asciiTheme="minorHAnsi" w:hAnsiTheme="minorHAnsi" w:cstheme="minorHAnsi"/>
                <w:sz w:val="20"/>
                <w:szCs w:val="20"/>
              </w:rPr>
              <w:t xml:space="preserve"> </w:t>
            </w:r>
            <w:r w:rsidR="00172842">
              <w:rPr>
                <w:rFonts w:asciiTheme="minorHAnsi" w:hAnsiTheme="minorHAnsi" w:cstheme="minorHAnsi"/>
                <w:sz w:val="20"/>
                <w:szCs w:val="20"/>
              </w:rPr>
              <w:t>2021-2027</w:t>
            </w:r>
            <w:r w:rsidR="005D5876">
              <w:rPr>
                <w:rFonts w:asciiTheme="minorHAnsi" w:hAnsiTheme="minorHAnsi" w:cstheme="minorHAnsi"/>
                <w:sz w:val="20"/>
                <w:szCs w:val="20"/>
              </w:rPr>
              <w:t>?</w:t>
            </w:r>
          </w:p>
          <w:p w14:paraId="5B0B42B4" w14:textId="65EC2DD2" w:rsidR="00C73624" w:rsidRPr="00752ADA" w:rsidRDefault="005C5A11" w:rsidP="001F38A5">
            <w:pPr>
              <w:numPr>
                <w:ilvl w:val="0"/>
                <w:numId w:val="8"/>
              </w:numPr>
              <w:tabs>
                <w:tab w:val="clear" w:pos="720"/>
              </w:tabs>
              <w:spacing w:before="120" w:line="276" w:lineRule="auto"/>
              <w:ind w:left="885" w:hanging="426"/>
              <w:jc w:val="both"/>
              <w:rPr>
                <w:rFonts w:asciiTheme="minorHAnsi" w:hAnsiTheme="minorHAnsi" w:cstheme="minorHAnsi"/>
                <w:sz w:val="20"/>
                <w:szCs w:val="20"/>
              </w:rPr>
            </w:pPr>
            <w:r>
              <w:rPr>
                <w:rFonts w:asciiTheme="minorHAnsi" w:hAnsiTheme="minorHAnsi" w:cstheme="minorHAnsi"/>
                <w:sz w:val="20"/>
                <w:szCs w:val="20"/>
              </w:rPr>
              <w:t xml:space="preserve">il </w:t>
            </w:r>
            <w:r w:rsidR="00561FD3">
              <w:rPr>
                <w:rFonts w:asciiTheme="minorHAnsi" w:hAnsiTheme="minorHAnsi" w:cstheme="minorHAnsi"/>
                <w:sz w:val="20"/>
                <w:szCs w:val="20"/>
              </w:rPr>
              <w:t>t</w:t>
            </w:r>
            <w:r w:rsidR="00563AB8" w:rsidRPr="002674CC">
              <w:rPr>
                <w:rFonts w:asciiTheme="minorHAnsi" w:hAnsiTheme="minorHAnsi" w:cstheme="minorHAnsi"/>
                <w:sz w:val="20"/>
                <w:szCs w:val="20"/>
              </w:rPr>
              <w:t>itolo del progetto di riferimento?</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A0AD34C" w14:textId="77777777" w:rsidR="00563AB8" w:rsidRPr="00AB1C7E" w:rsidRDefault="00563AB8" w:rsidP="0054413A">
            <w:pPr>
              <w:tabs>
                <w:tab w:val="left" w:pos="478"/>
              </w:tabs>
              <w:rPr>
                <w:rFonts w:asciiTheme="minorHAnsi" w:hAnsiTheme="minorHAnsi" w:cstheme="minorHAnsi"/>
                <w:sz w:val="20"/>
                <w:szCs w:val="20"/>
              </w:rPr>
            </w:pPr>
            <w:r w:rsidRPr="00AB1C7E">
              <w:rPr>
                <w:rFonts w:asciiTheme="minorHAnsi" w:hAnsiTheme="minorHAnsi" w:cstheme="minorHAnsi"/>
                <w:sz w:val="20"/>
                <w:szCs w:val="20"/>
              </w:rPr>
              <w:t xml:space="preserve"> </w:t>
            </w: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C58F7A1" w14:textId="77777777" w:rsidR="00563AB8" w:rsidRPr="00AB1C7E" w:rsidRDefault="00563AB8" w:rsidP="008D1704">
            <w:pPr>
              <w:numPr>
                <w:ilvl w:val="0"/>
                <w:numId w:val="9"/>
              </w:numPr>
              <w:rPr>
                <w:rFonts w:asciiTheme="minorHAnsi" w:hAnsiTheme="minorHAnsi" w:cstheme="minorHAnsi"/>
                <w:sz w:val="20"/>
                <w:szCs w:val="20"/>
              </w:rPr>
            </w:pPr>
            <w:r w:rsidRPr="00AB1C7E">
              <w:rPr>
                <w:rFonts w:asciiTheme="minorHAnsi" w:hAnsiTheme="minorHAnsi" w:cstheme="minorHAnsi"/>
                <w:sz w:val="20"/>
                <w:szCs w:val="20"/>
              </w:rPr>
              <w:t>Bando</w:t>
            </w:r>
          </w:p>
          <w:p w14:paraId="2C20C058" w14:textId="77777777" w:rsidR="00563AB8" w:rsidRPr="00AB1C7E" w:rsidRDefault="00563AB8" w:rsidP="008D1704">
            <w:pPr>
              <w:numPr>
                <w:ilvl w:val="0"/>
                <w:numId w:val="9"/>
              </w:numPr>
              <w:rPr>
                <w:rFonts w:asciiTheme="minorHAnsi" w:hAnsiTheme="minorHAnsi" w:cstheme="minorHAnsi"/>
                <w:sz w:val="20"/>
                <w:szCs w:val="20"/>
              </w:rPr>
            </w:pPr>
            <w:r w:rsidRPr="00AB1C7E">
              <w:rPr>
                <w:rFonts w:asciiTheme="minorHAnsi" w:hAnsiTheme="minorHAnsi" w:cstheme="minorHAnsi"/>
                <w:sz w:val="20"/>
                <w:szCs w:val="20"/>
              </w:rPr>
              <w:t>Capitolato</w:t>
            </w:r>
          </w:p>
          <w:p w14:paraId="7F7FB653" w14:textId="77777777" w:rsidR="00563AB8" w:rsidRPr="00AB1C7E" w:rsidRDefault="00563AB8" w:rsidP="008D1704">
            <w:pPr>
              <w:numPr>
                <w:ilvl w:val="0"/>
                <w:numId w:val="9"/>
              </w:numPr>
              <w:rPr>
                <w:rFonts w:asciiTheme="minorHAnsi" w:hAnsiTheme="minorHAnsi" w:cstheme="minorHAnsi"/>
                <w:sz w:val="20"/>
                <w:szCs w:val="20"/>
              </w:rPr>
            </w:pPr>
            <w:r w:rsidRPr="00AB1C7E">
              <w:rPr>
                <w:rFonts w:asciiTheme="minorHAnsi" w:hAnsiTheme="minorHAnsi" w:cstheme="minorHAnsi"/>
                <w:sz w:val="20"/>
                <w:szCs w:val="20"/>
              </w:rPr>
              <w:t>Altro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827D7E"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1547FA" w14:textId="77777777" w:rsidR="00563AB8" w:rsidRPr="00AB1C7E" w:rsidRDefault="00563AB8" w:rsidP="0054413A">
            <w:pPr>
              <w:jc w:val="center"/>
              <w:rPr>
                <w:rFonts w:asciiTheme="minorHAnsi" w:hAnsiTheme="minorHAnsi" w:cstheme="minorHAnsi"/>
                <w:b/>
                <w:bCs/>
                <w:sz w:val="20"/>
                <w:szCs w:val="20"/>
              </w:rPr>
            </w:pPr>
          </w:p>
        </w:tc>
      </w:tr>
      <w:tr w:rsidR="008C539A" w:rsidRPr="00AB1C7E" w14:paraId="66544117"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B9A2F3" w14:textId="77777777" w:rsidR="008C539A" w:rsidRDefault="008C539A" w:rsidP="008C539A">
            <w:pPr>
              <w:pStyle w:val="Paragrafoelenco"/>
              <w:numPr>
                <w:ilvl w:val="0"/>
                <w:numId w:val="1"/>
              </w:numPr>
              <w:spacing w:before="120" w:line="276" w:lineRule="auto"/>
              <w:jc w:val="both"/>
              <w:rPr>
                <w:rFonts w:ascii="Calibri" w:hAnsi="Calibri" w:cs="Tahoma"/>
              </w:rPr>
            </w:pPr>
            <w:r w:rsidRPr="00EA0D33">
              <w:rPr>
                <w:rFonts w:asciiTheme="minorHAnsi" w:hAnsiTheme="minorHAnsi" w:cstheme="minorHAnsi"/>
                <w:sz w:val="20"/>
                <w:szCs w:val="20"/>
              </w:rPr>
              <w:lastRenderedPageBreak/>
              <w:t>Nei documenti posti a base di gara, i costi della sicurezza sono scorporati dal costo dell'importo assoggettato al ribasso ai sensi dell’art. 23, comma 16 del d.lgs. n. 50/2016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AD0A6A" w14:textId="77777777" w:rsidR="008C539A" w:rsidRPr="00AB1C7E" w:rsidRDefault="008C539A"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B753896" w14:textId="77777777" w:rsidR="008C539A" w:rsidRDefault="008C539A" w:rsidP="008C53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Determina a contrarre </w:t>
            </w:r>
          </w:p>
          <w:p w14:paraId="4B088F2F" w14:textId="77777777" w:rsidR="008C539A" w:rsidRDefault="008C539A" w:rsidP="008C53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Bando di gara</w:t>
            </w:r>
          </w:p>
          <w:p w14:paraId="2269DCDC" w14:textId="77777777" w:rsidR="008C539A" w:rsidRDefault="008C539A" w:rsidP="008C53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 xml:space="preserve">Disciplinare di gara </w:t>
            </w:r>
          </w:p>
          <w:p w14:paraId="524AB525" w14:textId="77777777" w:rsidR="008C539A" w:rsidRPr="00AB1C7E" w:rsidRDefault="008C539A" w:rsidP="008C539A">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Capitolato 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142263" w14:textId="77777777" w:rsidR="008C539A" w:rsidRPr="00AB1C7E" w:rsidRDefault="008C539A"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77F08D" w14:textId="77777777" w:rsidR="008C539A" w:rsidRPr="00AB1C7E" w:rsidRDefault="008C539A" w:rsidP="0054413A">
            <w:pPr>
              <w:jc w:val="center"/>
              <w:rPr>
                <w:rFonts w:asciiTheme="minorHAnsi" w:hAnsiTheme="minorHAnsi" w:cstheme="minorHAnsi"/>
                <w:b/>
                <w:bCs/>
                <w:sz w:val="20"/>
                <w:szCs w:val="20"/>
              </w:rPr>
            </w:pPr>
          </w:p>
        </w:tc>
      </w:tr>
      <w:tr w:rsidR="00EE1895" w:rsidRPr="00AB1C7E" w14:paraId="700315D8"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012F484" w14:textId="5828338D" w:rsidR="00EE1895" w:rsidRPr="00EA0D33" w:rsidRDefault="00EE1895" w:rsidP="008C539A">
            <w:pPr>
              <w:pStyle w:val="Paragrafoelenco"/>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In </w:t>
            </w:r>
            <w:r w:rsidRPr="00EE1895">
              <w:rPr>
                <w:rFonts w:asciiTheme="minorHAnsi" w:hAnsiTheme="minorHAnsi" w:cstheme="minorHAnsi"/>
                <w:sz w:val="20"/>
                <w:szCs w:val="20"/>
              </w:rPr>
              <w:t>caso di procedura avviata tra il 19 aprile 2019 e fino al 30 giugno 2023 (a seguito dell'emanazione del Decreto-Legge 31/5/2021 n. 77), laddove utilizzata dalla stazione appaltante, è stata prevista nei documenti di gara la facoltà di inversione procedimentale?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3B30F7" w14:textId="77777777" w:rsidR="00EE1895" w:rsidRPr="00AB1C7E" w:rsidRDefault="00EE1895"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2868F3" w14:textId="77777777" w:rsidR="00EE1895" w:rsidRDefault="00EE1895" w:rsidP="009A225E">
            <w:pPr>
              <w:pStyle w:val="Paragrafoelenco1"/>
              <w:ind w:left="159"/>
              <w:rPr>
                <w:rFonts w:asciiTheme="minorHAnsi" w:hAnsiTheme="minorHAnsi" w:cstheme="minorHAnsi"/>
                <w:sz w:val="20"/>
                <w:szCs w:val="20"/>
              </w:rPr>
            </w:pPr>
          </w:p>
          <w:p w14:paraId="5A02374B" w14:textId="77777777" w:rsidR="00EE1895" w:rsidRPr="005964B0" w:rsidRDefault="00EE1895" w:rsidP="00EE1895">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 xml:space="preserve">Determina a contrarre </w:t>
            </w:r>
          </w:p>
          <w:p w14:paraId="22101EE6" w14:textId="77777777" w:rsidR="00EE1895" w:rsidRPr="005964B0" w:rsidRDefault="00EE1895" w:rsidP="00EE1895">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Bando di gara</w:t>
            </w:r>
          </w:p>
          <w:p w14:paraId="5F7E318C" w14:textId="77777777" w:rsidR="00EE1895" w:rsidRPr="005964B0" w:rsidRDefault="00EE1895" w:rsidP="00EE1895">
            <w:pPr>
              <w:pStyle w:val="Paragrafoelenco1"/>
              <w:numPr>
                <w:ilvl w:val="0"/>
                <w:numId w:val="6"/>
              </w:numPr>
              <w:ind w:left="159" w:hanging="159"/>
              <w:rPr>
                <w:rFonts w:asciiTheme="minorHAnsi" w:hAnsiTheme="minorHAnsi" w:cstheme="minorHAnsi"/>
                <w:sz w:val="20"/>
                <w:szCs w:val="20"/>
              </w:rPr>
            </w:pPr>
            <w:r w:rsidRPr="005964B0">
              <w:rPr>
                <w:rFonts w:asciiTheme="minorHAnsi" w:hAnsiTheme="minorHAnsi" w:cstheme="minorHAnsi"/>
                <w:sz w:val="20"/>
                <w:szCs w:val="20"/>
              </w:rPr>
              <w:t xml:space="preserve">Disciplinare di gara </w:t>
            </w:r>
          </w:p>
          <w:p w14:paraId="23D2325F" w14:textId="073FB974" w:rsidR="00EE1895" w:rsidRPr="006C4472" w:rsidRDefault="00EE1895" w:rsidP="006C4472">
            <w:r w:rsidRPr="005964B0">
              <w:rPr>
                <w:rFonts w:asciiTheme="minorHAnsi" w:hAnsiTheme="minorHAnsi" w:cstheme="minorHAnsi"/>
                <w:sz w:val="20"/>
                <w:szCs w:val="20"/>
              </w:rPr>
              <w:t>Capitolato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E33AA8" w14:textId="77777777" w:rsidR="00EE1895" w:rsidRPr="00AB1C7E" w:rsidRDefault="00EE1895"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54E1833" w14:textId="77777777" w:rsidR="00EE1895" w:rsidRPr="00AB1C7E" w:rsidRDefault="00EE1895" w:rsidP="0054413A">
            <w:pPr>
              <w:jc w:val="center"/>
              <w:rPr>
                <w:rFonts w:asciiTheme="minorHAnsi" w:hAnsiTheme="minorHAnsi" w:cstheme="minorHAnsi"/>
                <w:b/>
                <w:bCs/>
                <w:sz w:val="20"/>
                <w:szCs w:val="20"/>
              </w:rPr>
            </w:pPr>
          </w:p>
        </w:tc>
      </w:tr>
      <w:tr w:rsidR="00EE1895" w:rsidRPr="00AB1C7E" w14:paraId="28A9FC31"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874C6BF" w14:textId="06DD0D32" w:rsidR="00EE1895" w:rsidRDefault="00EE1895" w:rsidP="00EE1895">
            <w:pPr>
              <w:pStyle w:val="Paragrafoelenco1"/>
              <w:widowControl w:val="0"/>
              <w:numPr>
                <w:ilvl w:val="0"/>
                <w:numId w:val="1"/>
              </w:numPr>
              <w:tabs>
                <w:tab w:val="left" w:pos="743"/>
              </w:tabs>
              <w:suppressAutoHyphens/>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Qualora la documentazione relativa all’affidamento (lettera di invito/capitolato/avviso/ecc.) non menzioni il cofinanziamento da parte del </w:t>
            </w:r>
            <w:r w:rsidR="00752ADA">
              <w:rPr>
                <w:rFonts w:asciiTheme="minorHAnsi" w:hAnsiTheme="minorHAnsi" w:cstheme="minorHAnsi"/>
                <w:sz w:val="20"/>
                <w:szCs w:val="20"/>
              </w:rPr>
              <w:t>PN BMVI</w:t>
            </w:r>
            <w:r w:rsidR="008B1A1B">
              <w:rPr>
                <w:rFonts w:asciiTheme="minorHAnsi" w:hAnsiTheme="minorHAnsi" w:cstheme="minorHAnsi"/>
                <w:sz w:val="20"/>
                <w:szCs w:val="20"/>
              </w:rPr>
              <w:t xml:space="preserve"> 2021-2027 o del PN </w:t>
            </w:r>
            <w:r w:rsidR="00172842">
              <w:rPr>
                <w:rFonts w:asciiTheme="minorHAnsi" w:hAnsiTheme="minorHAnsi" w:cstheme="minorHAnsi"/>
                <w:sz w:val="20"/>
                <w:szCs w:val="20"/>
              </w:rPr>
              <w:t>ISF</w:t>
            </w:r>
            <w:r w:rsidR="00752ADA">
              <w:rPr>
                <w:rFonts w:asciiTheme="minorHAnsi" w:hAnsiTheme="minorHAnsi" w:cstheme="minorHAnsi"/>
                <w:sz w:val="20"/>
                <w:szCs w:val="20"/>
              </w:rPr>
              <w:t xml:space="preserve"> 2021-2027</w:t>
            </w:r>
            <w:r>
              <w:rPr>
                <w:rFonts w:asciiTheme="minorHAnsi" w:hAnsiTheme="minorHAnsi" w:cstheme="minorHAnsi"/>
                <w:sz w:val="20"/>
                <w:szCs w:val="20"/>
              </w:rPr>
              <w:t>, né il titolo del progetto di riferimento, la procedura di affidamento si è conclusa prima dell’ammissione a finanziamento del progetto di riferimento?</w:t>
            </w:r>
          </w:p>
          <w:p w14:paraId="3CC20BE9" w14:textId="77777777" w:rsidR="00EE1895" w:rsidRDefault="00EE1895" w:rsidP="006C4472">
            <w:pPr>
              <w:pStyle w:val="Paragrafoelenco"/>
              <w:spacing w:before="120" w:line="276" w:lineRule="aut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4FC3C8" w14:textId="77777777" w:rsidR="00EE1895" w:rsidRPr="00AB1C7E" w:rsidRDefault="00EE1895"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16BD34" w14:textId="77777777" w:rsidR="00EE1895" w:rsidRDefault="00EE1895" w:rsidP="009A225E">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653CF3" w14:textId="77777777" w:rsidR="00EE1895" w:rsidRPr="00AB1C7E" w:rsidRDefault="00EE1895"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BDFED94" w14:textId="77777777" w:rsidR="00EE1895" w:rsidRPr="00AB1C7E" w:rsidRDefault="00EE1895" w:rsidP="0054413A">
            <w:pPr>
              <w:jc w:val="center"/>
              <w:rPr>
                <w:rFonts w:asciiTheme="minorHAnsi" w:hAnsiTheme="minorHAnsi" w:cstheme="minorHAnsi"/>
                <w:b/>
                <w:bCs/>
                <w:sz w:val="20"/>
                <w:szCs w:val="20"/>
              </w:rPr>
            </w:pPr>
          </w:p>
        </w:tc>
      </w:tr>
      <w:tr w:rsidR="00EE1895" w:rsidRPr="00AB1C7E" w14:paraId="7DE52571"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DB454B6" w14:textId="77777777" w:rsidR="003F56F7" w:rsidRPr="003F56F7" w:rsidRDefault="00EE1895" w:rsidP="007E7FDD">
            <w:pPr>
              <w:pStyle w:val="Paragrafoelenco"/>
              <w:numPr>
                <w:ilvl w:val="0"/>
                <w:numId w:val="1"/>
              </w:numPr>
              <w:spacing w:before="240"/>
              <w:jc w:val="both"/>
              <w:rPr>
                <w:rFonts w:asciiTheme="minorHAnsi" w:hAnsiTheme="minorHAnsi" w:cstheme="minorHAnsi"/>
                <w:sz w:val="20"/>
                <w:szCs w:val="20"/>
              </w:rPr>
            </w:pPr>
            <w:r w:rsidRPr="003F56F7">
              <w:rPr>
                <w:rFonts w:asciiTheme="minorHAnsi" w:hAnsiTheme="minorHAnsi" w:cstheme="minorHAnsi"/>
                <w:sz w:val="20"/>
                <w:szCs w:val="20"/>
              </w:rPr>
              <w:t xml:space="preserve">Fino al </w:t>
            </w:r>
            <w:proofErr w:type="spellStart"/>
            <w:r w:rsidRPr="003F56F7">
              <w:rPr>
                <w:rFonts w:asciiTheme="minorHAnsi" w:hAnsiTheme="minorHAnsi" w:cstheme="minorHAnsi"/>
                <w:sz w:val="20"/>
                <w:szCs w:val="20"/>
              </w:rPr>
              <w:t>al</w:t>
            </w:r>
            <w:proofErr w:type="spellEnd"/>
            <w:r w:rsidRPr="003F56F7">
              <w:rPr>
                <w:rFonts w:asciiTheme="minorHAnsi" w:hAnsiTheme="minorHAnsi" w:cstheme="minorHAnsi"/>
                <w:sz w:val="20"/>
                <w:szCs w:val="20"/>
              </w:rPr>
              <w:t xml:space="preserve"> 31 dicembre 2023, in relazione alle procedure di affidamento dei contratti pubblici, i cui bandi o avvisi con cui si indice la procedura di scelta del contraente siano pubblicati successivamente al 27 gennaio 2022</w:t>
            </w:r>
            <w:r w:rsidR="003F56F7">
              <w:rPr>
                <w:rFonts w:asciiTheme="minorHAnsi" w:hAnsiTheme="minorHAnsi" w:cstheme="minorHAnsi"/>
                <w:sz w:val="20"/>
                <w:szCs w:val="20"/>
              </w:rPr>
              <w:t xml:space="preserve">, </w:t>
            </w:r>
            <w:r w:rsidR="003F56F7" w:rsidRPr="003F56F7">
              <w:rPr>
                <w:rFonts w:asciiTheme="minorHAnsi" w:hAnsiTheme="minorHAnsi" w:cstheme="minorHAnsi"/>
                <w:sz w:val="20"/>
                <w:szCs w:val="20"/>
              </w:rPr>
              <w:t xml:space="preserve">sono state inserite, nei documenti di gara iniziali, delle </w:t>
            </w:r>
            <w:r w:rsidR="003F56F7" w:rsidRPr="003F56F7">
              <w:rPr>
                <w:rFonts w:asciiTheme="minorHAnsi" w:hAnsiTheme="minorHAnsi" w:cstheme="minorHAnsi"/>
                <w:b/>
                <w:bCs/>
                <w:sz w:val="20"/>
                <w:szCs w:val="20"/>
              </w:rPr>
              <w:t>clausole di revisione dei prezzi</w:t>
            </w:r>
            <w:r w:rsidR="003F56F7" w:rsidRPr="003F56F7">
              <w:rPr>
                <w:rFonts w:asciiTheme="minorHAnsi" w:hAnsiTheme="minorHAnsi" w:cstheme="minorHAnsi"/>
                <w:sz w:val="20"/>
                <w:szCs w:val="20"/>
              </w:rPr>
              <w:t xml:space="preserve"> previste </w:t>
            </w:r>
            <w:r w:rsidR="003F56F7" w:rsidRPr="003F56F7">
              <w:rPr>
                <w:rFonts w:asciiTheme="minorHAnsi" w:hAnsiTheme="minorHAnsi" w:cstheme="minorHAnsi"/>
                <w:sz w:val="20"/>
                <w:szCs w:val="20"/>
              </w:rPr>
              <w:lastRenderedPageBreak/>
              <w:t>dall'articolo 106, comma 1, lettera a), primo periodo, del codice dei contratti pubblici, di cui al d.lgs. 18 aprile 2016, n. 50?</w:t>
            </w:r>
          </w:p>
          <w:p w14:paraId="62A66407" w14:textId="24585BA7" w:rsidR="00EE1895" w:rsidRDefault="00EE1895" w:rsidP="009A225E">
            <w:pPr>
              <w:pStyle w:val="Paragrafoelenco"/>
              <w:ind w:left="360"/>
              <w:jc w:val="both"/>
              <w:rPr>
                <w:rFonts w:asciiTheme="minorHAnsi" w:hAnsiTheme="minorHAnsi" w:cstheme="minorHAnsi"/>
                <w:sz w:val="20"/>
                <w:szCs w:val="20"/>
              </w:rPr>
            </w:pPr>
          </w:p>
          <w:p w14:paraId="3A9B67C8" w14:textId="2E423ECB" w:rsidR="00EE1895" w:rsidRDefault="00EE1895" w:rsidP="007E7FDD">
            <w:pPr>
              <w:pStyle w:val="Paragrafoelenco"/>
              <w:ind w:left="360"/>
              <w:jc w:val="both"/>
              <w:rPr>
                <w:rFonts w:asciiTheme="minorHAnsi" w:hAnsiTheme="minorHAnsi" w:cstheme="minorHAnsi"/>
                <w:sz w:val="20"/>
                <w:szCs w:val="20"/>
              </w:rPr>
            </w:pP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E923F1" w14:textId="77777777" w:rsidR="00EE1895" w:rsidRPr="00AB1C7E" w:rsidRDefault="00EE1895"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14CEE8" w14:textId="77777777" w:rsidR="00EE1895" w:rsidRDefault="00EE1895" w:rsidP="009A225E">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E528BF2" w14:textId="77777777" w:rsidR="00EE1895" w:rsidRPr="00AB1C7E" w:rsidRDefault="00EE1895"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CFB1CF" w14:textId="77777777" w:rsidR="00EE1895" w:rsidRPr="00AB1C7E" w:rsidRDefault="00EE1895" w:rsidP="0054413A">
            <w:pPr>
              <w:jc w:val="center"/>
              <w:rPr>
                <w:rFonts w:asciiTheme="minorHAnsi" w:hAnsiTheme="minorHAnsi" w:cstheme="minorHAnsi"/>
                <w:b/>
                <w:bCs/>
                <w:sz w:val="20"/>
                <w:szCs w:val="20"/>
              </w:rPr>
            </w:pPr>
          </w:p>
        </w:tc>
      </w:tr>
      <w:tr w:rsidR="00B4212B" w:rsidRPr="00AB1C7E" w14:paraId="61544F2F"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830DBC" w14:textId="764B1D46" w:rsidR="00B4212B" w:rsidRPr="00EA0D33" w:rsidRDefault="00B4212B" w:rsidP="00EE1895">
            <w:pPr>
              <w:pStyle w:val="Paragrafoelenco"/>
              <w:numPr>
                <w:ilvl w:val="0"/>
                <w:numId w:val="1"/>
              </w:numPr>
              <w:spacing w:before="120" w:line="276" w:lineRule="auto"/>
              <w:jc w:val="both"/>
              <w:rPr>
                <w:rFonts w:asciiTheme="minorHAnsi" w:hAnsiTheme="minorHAnsi" w:cstheme="minorHAnsi"/>
                <w:sz w:val="20"/>
                <w:szCs w:val="20"/>
              </w:rPr>
            </w:pPr>
            <w:r w:rsidRPr="00B474A4">
              <w:rPr>
                <w:rFonts w:asciiTheme="minorHAnsi" w:hAnsiTheme="minorHAnsi" w:cstheme="minorHAnsi"/>
                <w:sz w:val="20"/>
                <w:szCs w:val="20"/>
              </w:rPr>
              <w:t>Qualora ci siano rischi da interferenza, è stato redatto  il DUVRI (</w:t>
            </w:r>
            <w:r>
              <w:rPr>
                <w:rFonts w:asciiTheme="minorHAnsi" w:hAnsiTheme="minorHAnsi" w:cstheme="minorHAnsi"/>
                <w:sz w:val="20"/>
                <w:szCs w:val="20"/>
              </w:rPr>
              <w:t>a</w:t>
            </w:r>
            <w:r w:rsidRPr="00B474A4">
              <w:rPr>
                <w:rFonts w:asciiTheme="minorHAnsi" w:hAnsiTheme="minorHAnsi" w:cstheme="minorHAnsi"/>
                <w:sz w:val="20"/>
                <w:szCs w:val="20"/>
              </w:rPr>
              <w:t>rt. 26 d.lgs. 81/2008)</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B28F2E" w14:textId="77777777" w:rsidR="00B4212B" w:rsidRPr="00AB1C7E" w:rsidRDefault="00B4212B"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82BD1A9" w14:textId="78D82C36" w:rsidR="00B4212B" w:rsidRDefault="00B4212B" w:rsidP="008C539A">
            <w:pPr>
              <w:pStyle w:val="Paragrafoelenco1"/>
              <w:numPr>
                <w:ilvl w:val="0"/>
                <w:numId w:val="6"/>
              </w:numPr>
              <w:ind w:left="159" w:hanging="159"/>
              <w:rPr>
                <w:rFonts w:asciiTheme="minorHAnsi" w:hAnsiTheme="minorHAnsi" w:cstheme="minorHAnsi"/>
                <w:sz w:val="20"/>
                <w:szCs w:val="20"/>
              </w:rPr>
            </w:pPr>
            <w:proofErr w:type="spellStart"/>
            <w:r>
              <w:rPr>
                <w:rFonts w:asciiTheme="minorHAnsi" w:hAnsiTheme="minorHAnsi" w:cstheme="minorHAnsi"/>
                <w:sz w:val="20"/>
                <w:szCs w:val="20"/>
              </w:rPr>
              <w:t>Duvri</w:t>
            </w:r>
            <w:proofErr w:type="spellEnd"/>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16F884" w14:textId="77777777" w:rsidR="00B4212B" w:rsidRPr="00AB1C7E" w:rsidRDefault="00B4212B"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048BBAA" w14:textId="77777777" w:rsidR="00B4212B" w:rsidRPr="00AB1C7E" w:rsidRDefault="00B4212B" w:rsidP="0054413A">
            <w:pPr>
              <w:jc w:val="center"/>
              <w:rPr>
                <w:rFonts w:asciiTheme="minorHAnsi" w:hAnsiTheme="minorHAnsi" w:cstheme="minorHAnsi"/>
                <w:b/>
                <w:bCs/>
                <w:sz w:val="20"/>
                <w:szCs w:val="20"/>
              </w:rPr>
            </w:pPr>
          </w:p>
        </w:tc>
      </w:tr>
      <w:tr w:rsidR="00EE64E4" w:rsidRPr="00AB1C7E" w14:paraId="4E932D20"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951F08A" w14:textId="77777777" w:rsidR="009B3462" w:rsidRPr="002674CC" w:rsidRDefault="00EE64E4" w:rsidP="00EE1895">
            <w:pPr>
              <w:pStyle w:val="Paragrafoelenco"/>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Tutte le comunicazioni nel quadro di un sistema dinamico di acquisizione sono effettuate esclusivamente con mezzi elettronici conformemente all'</w:t>
            </w:r>
            <w:hyperlink r:id="rId13" w:anchor="052" w:history="1">
              <w:r w:rsidRPr="002674CC">
                <w:rPr>
                  <w:rFonts w:asciiTheme="minorHAnsi" w:hAnsiTheme="minorHAnsi" w:cstheme="minorHAnsi"/>
                  <w:sz w:val="20"/>
                  <w:szCs w:val="20"/>
                </w:rPr>
                <w:t>articolo 52, commi 1, 2, 3, 5, 6, 8 e 9</w:t>
              </w:r>
            </w:hyperlink>
            <w:r w:rsidRPr="002674CC">
              <w:rPr>
                <w:rFonts w:asciiTheme="minorHAnsi" w:hAnsiTheme="minorHAnsi" w:cstheme="minorHAnsi"/>
                <w:sz w:val="20"/>
                <w:szCs w:val="20"/>
              </w:rPr>
              <w:t xml:space="preserve">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85A829" w14:textId="77777777" w:rsidR="00EE64E4" w:rsidRPr="00AB1C7E" w:rsidRDefault="00EE64E4"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91186C" w14:textId="77777777" w:rsidR="00EE64E4" w:rsidRPr="00AB1C7E" w:rsidRDefault="00484DF5"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Comunicazioni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2628D73" w14:textId="77777777" w:rsidR="00FD0E7C" w:rsidRPr="00AB1C7E" w:rsidRDefault="00FD0E7C"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D940AD" w14:textId="77777777" w:rsidR="00EE64E4" w:rsidRPr="00AB1C7E" w:rsidRDefault="00EE64E4" w:rsidP="0054413A">
            <w:pPr>
              <w:jc w:val="center"/>
              <w:rPr>
                <w:rFonts w:asciiTheme="minorHAnsi" w:hAnsiTheme="minorHAnsi" w:cstheme="minorHAnsi"/>
                <w:b/>
                <w:bCs/>
                <w:sz w:val="20"/>
                <w:szCs w:val="20"/>
              </w:rPr>
            </w:pPr>
          </w:p>
        </w:tc>
      </w:tr>
      <w:tr w:rsidR="00EE64E4" w:rsidRPr="00AB1C7E" w14:paraId="72EC5494"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F36FD43" w14:textId="77777777" w:rsidR="00EE64E4" w:rsidRPr="002674CC" w:rsidRDefault="00EE64E4" w:rsidP="00EE1895">
            <w:pPr>
              <w:pStyle w:val="Paragrafoelenco"/>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Per l'aggiudicazione nell'ambito di un sistema dinamico di acquisizione, le stazioni appaltanti hanno seguito anche le norme previste per la procedura ristretta di cui all'</w:t>
            </w:r>
            <w:r w:rsidR="00C71AC3">
              <w:rPr>
                <w:rFonts w:asciiTheme="minorHAnsi" w:hAnsiTheme="minorHAnsi" w:cstheme="minorHAnsi"/>
                <w:sz w:val="20"/>
                <w:szCs w:val="20"/>
              </w:rPr>
              <w:t xml:space="preserve">articolo 61 D.lgs. n. </w:t>
            </w:r>
            <w:r w:rsidR="00912DCD">
              <w:rPr>
                <w:rFonts w:asciiTheme="minorHAnsi" w:hAnsiTheme="minorHAnsi" w:cstheme="minorHAnsi"/>
                <w:sz w:val="20"/>
                <w:szCs w:val="20"/>
              </w:rPr>
              <w:t>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9EEEF8" w14:textId="77777777" w:rsidR="00EE64E4" w:rsidRPr="00AB1C7E" w:rsidRDefault="00EE64E4"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429536" w14:textId="77777777" w:rsidR="00EE64E4" w:rsidRPr="00AB1C7E" w:rsidRDefault="00484DF5"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Avviso di </w:t>
            </w:r>
            <w:proofErr w:type="spellStart"/>
            <w:r w:rsidRPr="00AB1C7E">
              <w:rPr>
                <w:rFonts w:asciiTheme="minorHAnsi" w:hAnsiTheme="minorHAnsi" w:cstheme="minorHAnsi"/>
                <w:sz w:val="20"/>
                <w:szCs w:val="20"/>
              </w:rPr>
              <w:t>indizine</w:t>
            </w:r>
            <w:proofErr w:type="spellEnd"/>
            <w:r w:rsidRPr="00AB1C7E">
              <w:rPr>
                <w:rFonts w:asciiTheme="minorHAnsi" w:hAnsiTheme="minorHAnsi" w:cstheme="minorHAnsi"/>
                <w:sz w:val="20"/>
                <w:szCs w:val="20"/>
              </w:rPr>
              <w:t xml:space="preserve"> dello SDAPA ,</w:t>
            </w:r>
          </w:p>
          <w:p w14:paraId="6462E87F" w14:textId="77777777" w:rsidR="00484DF5" w:rsidRPr="00AB1C7E" w:rsidRDefault="00484DF5"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Invito a presentare offerta</w:t>
            </w:r>
          </w:p>
          <w:p w14:paraId="417E2C99" w14:textId="77777777" w:rsidR="00484DF5" w:rsidRPr="00AB1C7E" w:rsidRDefault="00484DF5"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verbali</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081C8F8" w14:textId="77777777" w:rsidR="00EE64E4" w:rsidRPr="00AB1C7E" w:rsidRDefault="00EE64E4"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078E56" w14:textId="77777777" w:rsidR="00EE64E4" w:rsidRPr="00AB1C7E" w:rsidRDefault="00EE64E4" w:rsidP="0054413A">
            <w:pPr>
              <w:jc w:val="center"/>
              <w:rPr>
                <w:rFonts w:asciiTheme="minorHAnsi" w:hAnsiTheme="minorHAnsi" w:cstheme="minorHAnsi"/>
                <w:b/>
                <w:bCs/>
                <w:sz w:val="20"/>
                <w:szCs w:val="20"/>
              </w:rPr>
            </w:pPr>
          </w:p>
        </w:tc>
      </w:tr>
      <w:tr w:rsidR="0074016E" w:rsidRPr="00AB1C7E" w14:paraId="7C83F710"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F759BB6" w14:textId="77777777" w:rsidR="0074016E" w:rsidRPr="002674CC" w:rsidRDefault="0074016E" w:rsidP="00EE1895">
            <w:pPr>
              <w:pStyle w:val="Paragrafoelenco1"/>
              <w:numPr>
                <w:ilvl w:val="0"/>
                <w:numId w:val="1"/>
              </w:numPr>
              <w:spacing w:before="120" w:after="120" w:line="276" w:lineRule="auto"/>
              <w:jc w:val="both"/>
              <w:rPr>
                <w:rFonts w:asciiTheme="minorHAnsi" w:hAnsiTheme="minorHAnsi" w:cstheme="minorHAnsi"/>
                <w:sz w:val="20"/>
                <w:szCs w:val="20"/>
              </w:rPr>
            </w:pPr>
            <w:r w:rsidRPr="002674CC">
              <w:rPr>
                <w:rFonts w:asciiTheme="minorHAnsi" w:hAnsiTheme="minorHAnsi" w:cstheme="minorHAnsi"/>
                <w:sz w:val="20"/>
                <w:szCs w:val="20"/>
              </w:rPr>
              <w:t>Le stazioni appaltanti hanno invitato tutti i partecipanti ammessi a presentare un'offerta per ogni specifico appalto nell'ambito del sistema dinamico di acquisizione, conformemente all'articolo 75 e all’ar</w:t>
            </w:r>
            <w:r w:rsidR="00912DCD">
              <w:rPr>
                <w:rFonts w:asciiTheme="minorHAnsi" w:hAnsiTheme="minorHAnsi" w:cstheme="minorHAnsi"/>
                <w:sz w:val="20"/>
                <w:szCs w:val="20"/>
              </w:rPr>
              <w:t xml:space="preserve">ticolo 131 D.lgs. n. 50/2016?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E38F54" w14:textId="77777777" w:rsidR="0074016E" w:rsidRPr="00AB1C7E" w:rsidRDefault="0074016E"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FE46E1" w14:textId="77777777" w:rsidR="0074016E" w:rsidRPr="00AB1C7E" w:rsidRDefault="00AD3A5E"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Invito a presentare offerta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F21CE0" w14:textId="77777777" w:rsidR="0074016E" w:rsidRPr="00AB1C7E" w:rsidRDefault="0074016E"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4A9006" w14:textId="77777777" w:rsidR="0074016E" w:rsidRPr="00AB1C7E" w:rsidRDefault="0074016E" w:rsidP="0054413A">
            <w:pPr>
              <w:jc w:val="center"/>
              <w:rPr>
                <w:rFonts w:asciiTheme="minorHAnsi" w:hAnsiTheme="minorHAnsi" w:cstheme="minorHAnsi"/>
                <w:b/>
                <w:bCs/>
                <w:sz w:val="20"/>
                <w:szCs w:val="20"/>
              </w:rPr>
            </w:pPr>
          </w:p>
        </w:tc>
      </w:tr>
      <w:tr w:rsidR="0074016E" w:rsidRPr="00AB1C7E" w14:paraId="6044DCDF"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DAA2C8D" w14:textId="297ECFE5" w:rsidR="0074016E" w:rsidRPr="002674CC" w:rsidRDefault="00AD3A5E" w:rsidP="00EE1895">
            <w:pPr>
              <w:pStyle w:val="Paragrafoelenco1"/>
              <w:numPr>
                <w:ilvl w:val="0"/>
                <w:numId w:val="1"/>
              </w:numPr>
              <w:spacing w:before="120" w:after="120" w:line="276" w:lineRule="auto"/>
              <w:jc w:val="both"/>
              <w:rPr>
                <w:rFonts w:asciiTheme="minorHAnsi" w:hAnsiTheme="minorHAnsi" w:cstheme="minorHAnsi"/>
                <w:sz w:val="20"/>
                <w:szCs w:val="20"/>
              </w:rPr>
            </w:pPr>
            <w:r w:rsidRPr="002674CC">
              <w:rPr>
                <w:rFonts w:asciiTheme="minorHAnsi" w:hAnsiTheme="minorHAnsi" w:cstheme="minorHAnsi"/>
                <w:sz w:val="20"/>
                <w:szCs w:val="20"/>
              </w:rPr>
              <w:lastRenderedPageBreak/>
              <w:t xml:space="preserve">Nell’invito a presentare offerta sono stati indicati (se non già presenti nell’avviso di gara per l’istituzione del sistema dinamico di acquisizione) i </w:t>
            </w:r>
            <w:proofErr w:type="spellStart"/>
            <w:r w:rsidRPr="002674CC">
              <w:rPr>
                <w:rFonts w:asciiTheme="minorHAnsi" w:hAnsiTheme="minorHAnsi" w:cstheme="minorHAnsi"/>
                <w:sz w:val="20"/>
                <w:szCs w:val="20"/>
              </w:rPr>
              <w:t>cirteri</w:t>
            </w:r>
            <w:proofErr w:type="spellEnd"/>
            <w:r w:rsidRPr="002674CC">
              <w:rPr>
                <w:rFonts w:asciiTheme="minorHAnsi" w:hAnsiTheme="minorHAnsi" w:cstheme="minorHAnsi"/>
                <w:sz w:val="20"/>
                <w:szCs w:val="20"/>
              </w:rPr>
              <w:t xml:space="preserve"> di aggiudicazi</w:t>
            </w:r>
            <w:r w:rsidR="00912DCD">
              <w:rPr>
                <w:rFonts w:asciiTheme="minorHAnsi" w:hAnsiTheme="minorHAnsi" w:cstheme="minorHAnsi"/>
                <w:sz w:val="20"/>
                <w:szCs w:val="20"/>
              </w:rPr>
              <w:t>o</w:t>
            </w:r>
            <w:r w:rsidRPr="002674CC">
              <w:rPr>
                <w:rFonts w:asciiTheme="minorHAnsi" w:hAnsiTheme="minorHAnsi" w:cstheme="minorHAnsi"/>
                <w:sz w:val="20"/>
                <w:szCs w:val="20"/>
              </w:rPr>
              <w:t>ne di cui all’art. 55, comma 8  lett. 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7C1449" w14:textId="77777777" w:rsidR="0074016E" w:rsidRPr="00AB1C7E" w:rsidRDefault="0074016E"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7230020" w14:textId="77777777" w:rsidR="0074016E" w:rsidRPr="00AB1C7E" w:rsidRDefault="00AD3A5E"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Invito a presentare offerta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C889AB" w14:textId="77777777" w:rsidR="0074016E" w:rsidRPr="00AB1C7E" w:rsidRDefault="0074016E"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5627E3" w14:textId="77777777" w:rsidR="0074016E" w:rsidRPr="00AB1C7E" w:rsidRDefault="0074016E" w:rsidP="0054413A">
            <w:pPr>
              <w:jc w:val="center"/>
              <w:rPr>
                <w:rFonts w:asciiTheme="minorHAnsi" w:hAnsiTheme="minorHAnsi" w:cstheme="minorHAnsi"/>
                <w:b/>
                <w:bCs/>
                <w:sz w:val="20"/>
                <w:szCs w:val="20"/>
              </w:rPr>
            </w:pPr>
          </w:p>
        </w:tc>
      </w:tr>
      <w:tr w:rsidR="00563AB8" w:rsidRPr="00AB1C7E" w14:paraId="0C953546"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DA33B3" w14:textId="77777777" w:rsidR="00563AB8" w:rsidRPr="002674CC" w:rsidRDefault="00563AB8" w:rsidP="00EE1895">
            <w:pPr>
              <w:pStyle w:val="Paragrafoelenco1"/>
              <w:numPr>
                <w:ilvl w:val="0"/>
                <w:numId w:val="1"/>
              </w:numPr>
              <w:spacing w:before="120" w:after="120" w:line="276" w:lineRule="auto"/>
              <w:jc w:val="both"/>
              <w:rPr>
                <w:rFonts w:asciiTheme="minorHAnsi" w:hAnsiTheme="minorHAnsi" w:cstheme="minorHAnsi"/>
                <w:sz w:val="20"/>
                <w:szCs w:val="20"/>
              </w:rPr>
            </w:pPr>
            <w:r w:rsidRPr="002674CC">
              <w:rPr>
                <w:rFonts w:asciiTheme="minorHAnsi" w:hAnsiTheme="minorHAnsi" w:cstheme="minorHAnsi"/>
                <w:sz w:val="20"/>
                <w:szCs w:val="20"/>
              </w:rPr>
              <w:t xml:space="preserve">In caso di progetti informatici/tecnologici è stato acquisito il parere dell’Agenzia per l’Italia digitale (obbligatorio qualora il valore lordo di detti </w:t>
            </w:r>
            <w:r w:rsidR="00C71AC3">
              <w:rPr>
                <w:rFonts w:asciiTheme="minorHAnsi" w:hAnsiTheme="minorHAnsi" w:cstheme="minorHAnsi"/>
                <w:sz w:val="20"/>
                <w:szCs w:val="20"/>
              </w:rPr>
              <w:t>contratti sia superiore a euro 2</w:t>
            </w:r>
            <w:r w:rsidRPr="002674CC">
              <w:rPr>
                <w:rFonts w:asciiTheme="minorHAnsi" w:hAnsiTheme="minorHAnsi" w:cstheme="minorHAnsi"/>
                <w:sz w:val="20"/>
                <w:szCs w:val="20"/>
              </w:rPr>
              <w:t>.000.000,00,</w:t>
            </w:r>
            <w:r w:rsidR="00C71AC3">
              <w:rPr>
                <w:rFonts w:asciiTheme="minorHAnsi" w:hAnsiTheme="minorHAnsi" w:cstheme="minorHAnsi"/>
                <w:sz w:val="20"/>
                <w:szCs w:val="20"/>
              </w:rPr>
              <w:t xml:space="preserve"> nel caso di procedura ristretta</w:t>
            </w:r>
            <w:r w:rsidR="00912DCD">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9FE27F3" w14:textId="77777777" w:rsidR="00563AB8" w:rsidRPr="00AB1C7E" w:rsidRDefault="00563AB8"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4F91E2" w14:textId="77777777" w:rsidR="00563AB8" w:rsidRPr="00AB1C7E" w:rsidRDefault="00563AB8" w:rsidP="00C71AC3">
            <w:pPr>
              <w:pStyle w:val="Paragrafoelenco1"/>
              <w:numPr>
                <w:ilvl w:val="0"/>
                <w:numId w:val="6"/>
              </w:numPr>
              <w:ind w:left="159" w:hanging="159"/>
              <w:jc w:val="both"/>
              <w:rPr>
                <w:rFonts w:asciiTheme="minorHAnsi" w:hAnsiTheme="minorHAnsi" w:cstheme="minorHAnsi"/>
                <w:sz w:val="20"/>
                <w:szCs w:val="20"/>
              </w:rPr>
            </w:pPr>
            <w:r w:rsidRPr="00AB1C7E">
              <w:rPr>
                <w:rFonts w:asciiTheme="minorHAnsi" w:hAnsiTheme="minorHAnsi" w:cstheme="minorHAnsi"/>
                <w:sz w:val="20"/>
                <w:szCs w:val="20"/>
              </w:rPr>
              <w:t xml:space="preserve">Parere </w:t>
            </w:r>
            <w:proofErr w:type="gramStart"/>
            <w:r w:rsidRPr="00AB1C7E">
              <w:rPr>
                <w:rFonts w:asciiTheme="minorHAnsi" w:hAnsiTheme="minorHAnsi" w:cstheme="minorHAnsi"/>
                <w:sz w:val="20"/>
                <w:szCs w:val="20"/>
              </w:rPr>
              <w:t>di l’Agenzia</w:t>
            </w:r>
            <w:proofErr w:type="gramEnd"/>
            <w:r w:rsidRPr="00AB1C7E">
              <w:rPr>
                <w:rFonts w:asciiTheme="minorHAnsi" w:hAnsiTheme="minorHAnsi" w:cstheme="minorHAnsi"/>
                <w:sz w:val="20"/>
                <w:szCs w:val="20"/>
              </w:rPr>
              <w:t xml:space="preserve"> per l’Italia digitale (Ai sensi del decreto legge n. 83/2012, convertito in legge n. 134/2012, l’ente </w:t>
            </w:r>
            <w:proofErr w:type="spellStart"/>
            <w:r w:rsidRPr="00AB1C7E">
              <w:rPr>
                <w:rFonts w:asciiTheme="minorHAnsi" w:hAnsiTheme="minorHAnsi" w:cstheme="minorHAnsi"/>
                <w:sz w:val="20"/>
                <w:szCs w:val="20"/>
              </w:rPr>
              <w:t>DigitPA</w:t>
            </w:r>
            <w:proofErr w:type="spellEnd"/>
            <w:r w:rsidRPr="00AB1C7E">
              <w:rPr>
                <w:rFonts w:asciiTheme="minorHAnsi" w:hAnsiTheme="minorHAnsi" w:cstheme="minorHAnsi"/>
                <w:sz w:val="20"/>
                <w:szCs w:val="20"/>
              </w:rPr>
              <w:t xml:space="preserve"> è stato soppresso ed è stata istituita l’Agenzia per l’Italia digitale).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59C6790" w14:textId="77777777" w:rsidR="00563AB8" w:rsidRPr="00AB1C7E" w:rsidRDefault="00563AB8"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3DDEB3" w14:textId="77777777" w:rsidR="00563AB8" w:rsidRPr="00AB1C7E" w:rsidRDefault="00563AB8" w:rsidP="0054413A">
            <w:pPr>
              <w:jc w:val="center"/>
              <w:rPr>
                <w:rFonts w:asciiTheme="minorHAnsi" w:hAnsiTheme="minorHAnsi" w:cstheme="minorHAnsi"/>
                <w:b/>
                <w:bCs/>
                <w:sz w:val="20"/>
                <w:szCs w:val="20"/>
              </w:rPr>
            </w:pPr>
          </w:p>
        </w:tc>
      </w:tr>
      <w:tr w:rsidR="00267D72" w:rsidRPr="00AB1C7E" w14:paraId="34546CCE"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297367" w14:textId="77777777" w:rsidR="00267D72" w:rsidRPr="002674CC" w:rsidRDefault="00267D72" w:rsidP="00EE1895">
            <w:pPr>
              <w:pStyle w:val="Paragrafoelenco1"/>
              <w:numPr>
                <w:ilvl w:val="0"/>
                <w:numId w:val="1"/>
              </w:numPr>
              <w:spacing w:before="120" w:after="120" w:line="276" w:lineRule="auto"/>
              <w:jc w:val="both"/>
              <w:rPr>
                <w:rFonts w:asciiTheme="minorHAnsi" w:hAnsiTheme="minorHAnsi" w:cstheme="minorHAnsi"/>
                <w:sz w:val="20"/>
                <w:szCs w:val="20"/>
              </w:rPr>
            </w:pPr>
            <w:r w:rsidRPr="002674CC">
              <w:rPr>
                <w:rFonts w:asciiTheme="minorHAnsi" w:hAnsiTheme="minorHAnsi" w:cstheme="minorHAnsi"/>
                <w:sz w:val="20"/>
                <w:szCs w:val="20"/>
              </w:rPr>
              <w:t>Nel caso in cui la stazione appaltante si discosti dal parere dell’Agenzia per l’Italia digitale ne è fornita adeguata motivazione?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3D205D" w14:textId="77777777" w:rsidR="00267D72" w:rsidRPr="00AB1C7E" w:rsidRDefault="00267D72" w:rsidP="004A1CD7">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C0F89D8" w14:textId="77777777" w:rsidR="00267D72" w:rsidRPr="00AB1C7E" w:rsidRDefault="00267D72" w:rsidP="004A1CD7">
            <w:pPr>
              <w:pStyle w:val="Paragrafoelenco1"/>
              <w:numPr>
                <w:ilvl w:val="0"/>
                <w:numId w:val="6"/>
              </w:numPr>
              <w:ind w:left="176" w:hanging="199"/>
              <w:rPr>
                <w:rFonts w:asciiTheme="minorHAnsi" w:hAnsiTheme="minorHAnsi" w:cstheme="minorHAnsi"/>
                <w:sz w:val="20"/>
                <w:szCs w:val="20"/>
              </w:rPr>
            </w:pPr>
            <w:r w:rsidRPr="00AB1C7E">
              <w:rPr>
                <w:rFonts w:asciiTheme="minorHAnsi" w:hAnsiTheme="minorHAnsi" w:cstheme="minorHAnsi"/>
                <w:sz w:val="20"/>
                <w:szCs w:val="20"/>
              </w:rPr>
              <w:t>Parere dell’Agenzia per l’Italia digitale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B27F943"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92585B"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7DCA4206"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5DEFB32" w14:textId="77777777" w:rsidR="00267D72" w:rsidRPr="002674CC"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Nella documentazione di gara è previ</w:t>
            </w:r>
            <w:r w:rsidR="00220007">
              <w:rPr>
                <w:rFonts w:asciiTheme="minorHAnsi" w:hAnsiTheme="minorHAnsi" w:cstheme="minorHAnsi"/>
                <w:sz w:val="20"/>
                <w:szCs w:val="20"/>
              </w:rPr>
              <w:t>sta la possibilità di subappaltare?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6577744" w14:textId="77777777" w:rsidR="00267D72" w:rsidRPr="00AB1C7E" w:rsidDel="00AC63DC"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DA686BB" w14:textId="77777777" w:rsidR="00267D72"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Bando di gara</w:t>
            </w:r>
          </w:p>
          <w:p w14:paraId="47F8277F" w14:textId="77777777"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Disciplinare di gara</w:t>
            </w:r>
          </w:p>
          <w:p w14:paraId="5F75D9A6" w14:textId="77777777"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 xml:space="preserve">Capitolato </w:t>
            </w:r>
          </w:p>
          <w:p w14:paraId="14875E32" w14:textId="2A584C5D" w:rsidR="00D956D0" w:rsidRPr="00AB1C7E"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contratto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356C9F"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494DC0A" w14:textId="77777777" w:rsidR="00267D72" w:rsidRPr="00AB1C7E" w:rsidRDefault="00267D72" w:rsidP="0054413A">
            <w:pPr>
              <w:jc w:val="center"/>
              <w:rPr>
                <w:rFonts w:asciiTheme="minorHAnsi" w:hAnsiTheme="minorHAnsi" w:cstheme="minorHAnsi"/>
                <w:b/>
                <w:bCs/>
                <w:sz w:val="20"/>
                <w:szCs w:val="20"/>
              </w:rPr>
            </w:pPr>
          </w:p>
        </w:tc>
      </w:tr>
      <w:tr w:rsidR="00D956D0" w:rsidRPr="00AB1C7E" w14:paraId="2B54A503"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D76013" w14:textId="15A45AD1" w:rsidR="00D956D0" w:rsidRPr="00D956D0" w:rsidRDefault="00D956D0" w:rsidP="00EE1895">
            <w:pPr>
              <w:pStyle w:val="Paragrafoelenco1"/>
              <w:numPr>
                <w:ilvl w:val="0"/>
                <w:numId w:val="1"/>
              </w:numPr>
              <w:spacing w:before="120" w:line="276" w:lineRule="auto"/>
              <w:jc w:val="both"/>
            </w:pPr>
            <w:r>
              <w:rPr>
                <w:rFonts w:asciiTheme="minorHAnsi" w:hAnsiTheme="minorHAnsi" w:cstheme="minorHAnsi"/>
                <w:sz w:val="20"/>
                <w:szCs w:val="20"/>
              </w:rPr>
              <w:t xml:space="preserve"> In caso di </w:t>
            </w:r>
            <w:r w:rsidRPr="00EC4B51">
              <w:rPr>
                <w:rFonts w:asciiTheme="minorHAnsi" w:hAnsiTheme="minorHAnsi" w:cstheme="minorHAnsi"/>
                <w:sz w:val="20"/>
                <w:szCs w:val="20"/>
              </w:rPr>
              <w:t>limitazione percentuale della quota subappaltabile è</w:t>
            </w:r>
            <w:r>
              <w:rPr>
                <w:rFonts w:asciiTheme="minorHAnsi" w:hAnsiTheme="minorHAnsi" w:cstheme="minorHAnsi"/>
                <w:sz w:val="20"/>
                <w:szCs w:val="20"/>
              </w:rPr>
              <w:t xml:space="preserve"> presente la relativa</w:t>
            </w:r>
            <w:r w:rsidRPr="00EC4B51">
              <w:rPr>
                <w:rFonts w:asciiTheme="minorHAnsi" w:hAnsiTheme="minorHAnsi" w:cstheme="minorHAnsi"/>
                <w:sz w:val="20"/>
                <w:szCs w:val="20"/>
              </w:rPr>
              <w:t xml:space="preserve"> motiva</w:t>
            </w:r>
            <w:r>
              <w:rPr>
                <w:rFonts w:asciiTheme="minorHAnsi" w:hAnsiTheme="minorHAnsi" w:cstheme="minorHAnsi"/>
                <w:sz w:val="20"/>
                <w:szCs w:val="20"/>
              </w:rPr>
              <w:t>zione</w:t>
            </w:r>
            <w:r w:rsidRPr="00EC4B51">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8D7C0B" w14:textId="77777777" w:rsidR="00D956D0" w:rsidRPr="00AB1C7E" w:rsidDel="00AC63DC" w:rsidRDefault="00D956D0"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9ACD80" w14:textId="751015AE"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Determina a contrarre</w:t>
            </w:r>
          </w:p>
          <w:p w14:paraId="27C3789A" w14:textId="711E9DDB"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Bando di gara</w:t>
            </w:r>
          </w:p>
          <w:p w14:paraId="10F66F29" w14:textId="77777777" w:rsid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Disciplinare di gara</w:t>
            </w:r>
          </w:p>
          <w:p w14:paraId="65DC5BE1" w14:textId="6E0F46A4" w:rsidR="00D956D0" w:rsidRPr="00D956D0" w:rsidRDefault="00D956D0" w:rsidP="00D956D0">
            <w:pPr>
              <w:pStyle w:val="Paragrafoelenco1"/>
              <w:numPr>
                <w:ilvl w:val="0"/>
                <w:numId w:val="6"/>
              </w:numPr>
              <w:ind w:left="176" w:hanging="199"/>
              <w:rPr>
                <w:rFonts w:asciiTheme="minorHAnsi" w:hAnsiTheme="minorHAnsi" w:cstheme="minorHAnsi"/>
                <w:sz w:val="20"/>
                <w:szCs w:val="20"/>
              </w:rPr>
            </w:pPr>
            <w:r>
              <w:rPr>
                <w:rFonts w:asciiTheme="minorHAnsi" w:hAnsiTheme="minorHAnsi" w:cstheme="minorHAnsi"/>
                <w:sz w:val="20"/>
                <w:szCs w:val="20"/>
              </w:rPr>
              <w:t xml:space="preserve">Capitolato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1BDB52F" w14:textId="77777777" w:rsidR="00D956D0" w:rsidRPr="00AB1C7E" w:rsidRDefault="00D956D0"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E33EAE" w14:textId="77777777" w:rsidR="00A5330D" w:rsidRDefault="00A5330D" w:rsidP="00A5330D">
            <w:pPr>
              <w:jc w:val="both"/>
            </w:pPr>
            <w:bookmarkStart w:id="0" w:name="_Hlk39519712"/>
            <w:r>
              <w:rPr>
                <w:rFonts w:asciiTheme="minorHAnsi" w:hAnsiTheme="minorHAnsi" w:cstheme="minorHAnsi"/>
                <w:sz w:val="20"/>
                <w:szCs w:val="20"/>
              </w:rPr>
              <w:t>I</w:t>
            </w:r>
            <w:r w:rsidRPr="00856789">
              <w:rPr>
                <w:rFonts w:asciiTheme="minorHAnsi" w:hAnsiTheme="minorHAnsi" w:cstheme="minorHAnsi"/>
                <w:sz w:val="20"/>
                <w:szCs w:val="20"/>
              </w:rPr>
              <w:t>n data 26 settembre 2019 la Corte di giustizia dell’Unione europea (C-63/18) ha ritenuto non conforme al diritto comunitario l’art. 105</w:t>
            </w:r>
            <w:r>
              <w:rPr>
                <w:rFonts w:asciiTheme="minorHAnsi" w:hAnsiTheme="minorHAnsi" w:cstheme="minorHAnsi"/>
                <w:sz w:val="20"/>
                <w:szCs w:val="20"/>
              </w:rPr>
              <w:t xml:space="preserve"> del d.lgs. n. 50/2016 nella parte in cui fissa </w:t>
            </w:r>
            <w:proofErr w:type="spellStart"/>
            <w:r w:rsidRPr="000A2B3B">
              <w:rPr>
                <w:rFonts w:asciiTheme="minorHAnsi" w:hAnsiTheme="minorHAnsi" w:cstheme="minorHAnsi"/>
                <w:i/>
                <w:iCs/>
                <w:sz w:val="20"/>
                <w:szCs w:val="20"/>
              </w:rPr>
              <w:t>ope</w:t>
            </w:r>
            <w:proofErr w:type="spellEnd"/>
            <w:r w:rsidRPr="000A2B3B">
              <w:rPr>
                <w:rFonts w:asciiTheme="minorHAnsi" w:hAnsiTheme="minorHAnsi" w:cstheme="minorHAnsi"/>
                <w:i/>
                <w:iCs/>
                <w:sz w:val="20"/>
                <w:szCs w:val="20"/>
              </w:rPr>
              <w:t xml:space="preserve"> legis</w:t>
            </w:r>
            <w:r>
              <w:rPr>
                <w:rFonts w:asciiTheme="minorHAnsi" w:hAnsiTheme="minorHAnsi" w:cstheme="minorHAnsi"/>
                <w:sz w:val="20"/>
                <w:szCs w:val="20"/>
              </w:rPr>
              <w:t xml:space="preserve"> il limite percentuale della quota subappaltabile</w:t>
            </w:r>
            <w:r w:rsidRPr="00856789">
              <w:rPr>
                <w:rFonts w:asciiTheme="minorHAnsi" w:hAnsiTheme="minorHAnsi" w:cstheme="minorHAnsi"/>
                <w:sz w:val="20"/>
                <w:szCs w:val="20"/>
              </w:rPr>
              <w:t xml:space="preserve">, </w:t>
            </w:r>
            <w:r w:rsidRPr="00856789">
              <w:rPr>
                <w:rFonts w:asciiTheme="minorHAnsi" w:hAnsiTheme="minorHAnsi" w:cstheme="minorHAnsi"/>
                <w:sz w:val="20"/>
                <w:szCs w:val="20"/>
              </w:rPr>
              <w:lastRenderedPageBreak/>
              <w:t>pertanto la motivazione è necessaria nel caso in cui siano previsti, negli atti di gara, limiti percentuali della quota subappaltabile</w:t>
            </w:r>
            <w:bookmarkEnd w:id="0"/>
          </w:p>
          <w:p w14:paraId="75DC9BDF" w14:textId="77777777" w:rsidR="00D956D0" w:rsidRPr="00AB1C7E" w:rsidRDefault="00D956D0" w:rsidP="0054413A">
            <w:pPr>
              <w:jc w:val="center"/>
              <w:rPr>
                <w:rFonts w:asciiTheme="minorHAnsi" w:hAnsiTheme="minorHAnsi" w:cstheme="minorHAnsi"/>
                <w:b/>
                <w:bCs/>
                <w:sz w:val="20"/>
                <w:szCs w:val="20"/>
              </w:rPr>
            </w:pPr>
          </w:p>
        </w:tc>
      </w:tr>
      <w:tr w:rsidR="002E356C" w:rsidRPr="00AB1C7E" w14:paraId="0FAF1D92" w14:textId="77777777" w:rsidTr="0083618B">
        <w:trPr>
          <w:trHeight w:val="113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3A52ED" w14:textId="624EBD2D" w:rsidR="002E356C" w:rsidRDefault="002E356C" w:rsidP="00EE1895">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lastRenderedPageBreak/>
              <w:t xml:space="preserve">In </w:t>
            </w:r>
            <w:r w:rsidRPr="002E356C">
              <w:rPr>
                <w:rFonts w:asciiTheme="minorHAnsi" w:hAnsiTheme="minorHAnsi" w:cstheme="minorHAnsi"/>
                <w:sz w:val="20"/>
                <w:szCs w:val="20"/>
              </w:rPr>
              <w:t>caso di procedura indetta in data successiva al 1° novembre 2021, qualora la stazione appaltante abbia indicato nei documenti di gara le prestazioni o lavorazioni oggetto del contratto di appalto da eseguire a cura dell’aggiudicatario, ha adeguatamente motivato in merito alla sussistenza delle condizioni indicate dall’art. 105, comma 2, terzo periodo del d.lgs. n. 50/2016</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8C56FE" w14:textId="77777777" w:rsidR="002E356C" w:rsidRPr="00AB1C7E" w:rsidDel="00AC63DC" w:rsidRDefault="002E356C"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BF222B8" w14:textId="77777777" w:rsidR="002E356C" w:rsidRDefault="002E356C" w:rsidP="006C4472">
            <w:pPr>
              <w:pStyle w:val="Paragrafoelenco1"/>
              <w:ind w:left="176"/>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2ABB85" w14:textId="77777777" w:rsidR="002E356C" w:rsidRPr="00AB1C7E" w:rsidRDefault="002E356C"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68AC85" w14:textId="77777777" w:rsidR="002E356C" w:rsidRDefault="002E356C" w:rsidP="00A5330D">
            <w:pPr>
              <w:jc w:val="both"/>
              <w:rPr>
                <w:rFonts w:asciiTheme="minorHAnsi" w:hAnsiTheme="minorHAnsi" w:cstheme="minorHAnsi"/>
                <w:sz w:val="20"/>
                <w:szCs w:val="20"/>
              </w:rPr>
            </w:pPr>
          </w:p>
        </w:tc>
      </w:tr>
      <w:tr w:rsidR="00267D72" w:rsidRPr="00AB1C7E" w14:paraId="332899F5" w14:textId="77777777" w:rsidTr="00953A3B">
        <w:trPr>
          <w:trHeight w:val="1077"/>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53CA94" w14:textId="77777777" w:rsidR="00267D72" w:rsidRPr="002674CC"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2674CC">
              <w:rPr>
                <w:rFonts w:asciiTheme="minorHAnsi" w:hAnsiTheme="minorHAnsi" w:cstheme="minorHAnsi"/>
                <w:sz w:val="20"/>
                <w:szCs w:val="20"/>
              </w:rPr>
              <w:t>È</w:t>
            </w:r>
            <w:r w:rsidR="00561FD3">
              <w:rPr>
                <w:rFonts w:asciiTheme="minorHAnsi" w:hAnsiTheme="minorHAnsi" w:cstheme="minorHAnsi"/>
                <w:sz w:val="20"/>
                <w:szCs w:val="20"/>
              </w:rPr>
              <w:t xml:space="preserve"> </w:t>
            </w:r>
            <w:r w:rsidRPr="002674CC">
              <w:rPr>
                <w:rFonts w:asciiTheme="minorHAnsi" w:hAnsiTheme="minorHAnsi" w:cstheme="minorHAnsi"/>
                <w:sz w:val="20"/>
                <w:szCs w:val="20"/>
              </w:rPr>
              <w:t>stata rilevata la congruità dei prezzi al fine di individuare il prezzo posto a base di gara?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08F66E8"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86BB5A3" w14:textId="77777777" w:rsidR="00267D72" w:rsidRPr="00AB1C7E" w:rsidRDefault="00267D72" w:rsidP="0054413A">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7240282"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811C54"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2C50C2A6" w14:textId="77777777" w:rsidTr="0083618B">
        <w:trPr>
          <w:trHeight w:val="116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0F7854" w14:textId="68B1A2CF" w:rsidR="00267D72" w:rsidRPr="002674CC" w:rsidRDefault="000A6A62" w:rsidP="00EE1895">
            <w:pPr>
              <w:pStyle w:val="Paragrafoelenco1"/>
              <w:numPr>
                <w:ilvl w:val="0"/>
                <w:numId w:val="1"/>
              </w:numPr>
              <w:spacing w:before="120" w:line="276" w:lineRule="auto"/>
              <w:jc w:val="both"/>
              <w:rPr>
                <w:rFonts w:asciiTheme="minorHAnsi" w:hAnsiTheme="minorHAnsi" w:cstheme="minorHAnsi"/>
                <w:bCs/>
                <w:sz w:val="20"/>
                <w:szCs w:val="20"/>
              </w:rPr>
            </w:pPr>
            <w:r>
              <w:rPr>
                <w:rFonts w:asciiTheme="minorHAnsi" w:hAnsiTheme="minorHAnsi" w:cstheme="minorHAnsi"/>
                <w:bCs/>
                <w:sz w:val="20"/>
                <w:szCs w:val="20"/>
              </w:rPr>
              <w:t>N</w:t>
            </w:r>
            <w:r w:rsidRPr="002674CC">
              <w:rPr>
                <w:rFonts w:asciiTheme="minorHAnsi" w:hAnsiTheme="minorHAnsi" w:cstheme="minorHAnsi"/>
                <w:bCs/>
                <w:sz w:val="20"/>
                <w:szCs w:val="20"/>
              </w:rPr>
              <w:t xml:space="preserve">el caso in cui sia stato concordato con l’Autorità </w:t>
            </w:r>
            <w:r>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w:t>
            </w:r>
            <w:r>
              <w:rPr>
                <w:rFonts w:asciiTheme="minorHAnsi" w:hAnsiTheme="minorHAnsi" w:cstheme="minorHAnsi"/>
                <w:bCs/>
                <w:sz w:val="20"/>
                <w:szCs w:val="20"/>
              </w:rPr>
              <w:t>,</w:t>
            </w:r>
            <w:r w:rsidRPr="002674CC">
              <w:rPr>
                <w:rFonts w:asciiTheme="minorHAnsi" w:hAnsiTheme="minorHAnsi" w:cstheme="minorHAnsi"/>
                <w:bCs/>
                <w:sz w:val="20"/>
                <w:szCs w:val="20"/>
              </w:rPr>
              <w:t xml:space="preserve"> mediante la delegazione di pagamento</w:t>
            </w:r>
            <w:r>
              <w:rPr>
                <w:rFonts w:asciiTheme="minorHAnsi" w:hAnsiTheme="minorHAnsi" w:cstheme="minorHAnsi"/>
                <w:bCs/>
                <w:sz w:val="20"/>
                <w:szCs w:val="20"/>
              </w:rPr>
              <w:t>, n</w:t>
            </w:r>
            <w:r w:rsidR="00267D72" w:rsidRPr="002674CC">
              <w:rPr>
                <w:rFonts w:asciiTheme="minorHAnsi" w:hAnsiTheme="minorHAnsi" w:cstheme="minorHAnsi"/>
                <w:bCs/>
                <w:sz w:val="20"/>
                <w:szCs w:val="20"/>
              </w:rPr>
              <w:t xml:space="preserve">ella documentazione di gara è stato precisato che il pagamento delle spese sostenute dal soggetto attuatore viene effettuato con risorse disponibili sul Fondo di </w:t>
            </w:r>
            <w:r w:rsidR="00267D72" w:rsidRPr="002674CC">
              <w:rPr>
                <w:rFonts w:asciiTheme="minorHAnsi" w:hAnsiTheme="minorHAnsi" w:cstheme="minorHAnsi"/>
                <w:bCs/>
                <w:sz w:val="20"/>
                <w:szCs w:val="20"/>
              </w:rPr>
              <w:lastRenderedPageBreak/>
              <w:t>Rotazione del Ministero dell’Economia e delle Finanze, ex L. 183/87</w:t>
            </w:r>
            <w:r w:rsidR="00627E61">
              <w:rPr>
                <w:rFonts w:asciiTheme="minorHAnsi" w:hAnsiTheme="minorHAnsi" w:cstheme="minorHAnsi"/>
                <w:bCs/>
                <w:sz w:val="20"/>
                <w:szCs w:val="20"/>
              </w:rPr>
              <w:t xml:space="preserve">, </w:t>
            </w:r>
            <w:r w:rsidR="00627E61" w:rsidRPr="00627E61">
              <w:rPr>
                <w:rFonts w:asciiTheme="minorHAnsi" w:hAnsiTheme="minorHAnsi" w:cstheme="minorHAnsi"/>
                <w:bCs/>
                <w:sz w:val="20"/>
                <w:szCs w:val="20"/>
              </w:rPr>
              <w:t>subordinato all’esito positivo dei controlli effettuati dai competenti Uffici della Segreteria Tecnica Amministrativa dei Fondi Europei e Programmi Operativi nazionali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3882820"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97825FA" w14:textId="77777777" w:rsidR="00267D72" w:rsidRPr="00AB1C7E" w:rsidRDefault="00267D72" w:rsidP="0054413A">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558CD5"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08BD3E"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334C503E" w14:textId="77777777" w:rsidTr="0083618B">
        <w:trPr>
          <w:trHeight w:val="1169"/>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1482CF4" w14:textId="77777777" w:rsidR="00267D72" w:rsidRPr="002674CC" w:rsidRDefault="00267D72"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2674CC">
              <w:rPr>
                <w:rFonts w:asciiTheme="minorHAnsi" w:hAnsiTheme="minorHAnsi" w:cstheme="minorHAnsi"/>
                <w:bCs/>
                <w:sz w:val="20"/>
                <w:szCs w:val="20"/>
              </w:rPr>
              <w:t xml:space="preserve">Nella documentazione di gara è stato previsto che il contratto è sottoposto alla condizione sospensiva dell'esito positivo </w:t>
            </w:r>
            <w:r>
              <w:rPr>
                <w:rFonts w:asciiTheme="minorHAnsi" w:hAnsiTheme="minorHAnsi" w:cstheme="minorHAnsi"/>
                <w:bCs/>
                <w:sz w:val="20"/>
                <w:szCs w:val="20"/>
              </w:rPr>
              <w:t>del c</w:t>
            </w:r>
            <w:r w:rsidRPr="002674CC">
              <w:rPr>
                <w:rFonts w:asciiTheme="minorHAnsi" w:hAnsiTheme="minorHAnsi" w:cstheme="minorHAnsi"/>
                <w:bCs/>
                <w:sz w:val="20"/>
                <w:szCs w:val="20"/>
              </w:rPr>
              <w:t xml:space="preserve">ontrollo della </w:t>
            </w:r>
            <w:proofErr w:type="gramStart"/>
            <w:r w:rsidRPr="002674CC">
              <w:rPr>
                <w:rFonts w:asciiTheme="minorHAnsi" w:hAnsiTheme="minorHAnsi" w:cstheme="minorHAnsi"/>
                <w:bCs/>
                <w:sz w:val="20"/>
                <w:szCs w:val="20"/>
              </w:rPr>
              <w:t>Corte dei Conti</w:t>
            </w:r>
            <w:proofErr w:type="gramEnd"/>
            <w:r w:rsidRPr="002674CC">
              <w:rPr>
                <w:rFonts w:asciiTheme="minorHAnsi" w:hAnsiTheme="minorHAnsi" w:cstheme="minorHAnsi"/>
                <w:bCs/>
                <w:sz w:val="20"/>
                <w:szCs w:val="20"/>
              </w:rPr>
              <w:t xml:space="preserve"> di cui all’art. 3, comma </w:t>
            </w:r>
            <w:r w:rsidR="00BC07B8">
              <w:rPr>
                <w:rFonts w:asciiTheme="minorHAnsi" w:hAnsiTheme="minorHAnsi" w:cstheme="minorHAnsi"/>
                <w:bCs/>
                <w:sz w:val="20"/>
                <w:szCs w:val="20"/>
              </w:rPr>
              <w:t>1</w:t>
            </w:r>
            <w:r w:rsidRPr="002674CC">
              <w:rPr>
                <w:rFonts w:asciiTheme="minorHAnsi" w:hAnsiTheme="minorHAnsi" w:cstheme="minorHAnsi"/>
                <w:bCs/>
                <w:sz w:val="20"/>
                <w:szCs w:val="20"/>
              </w:rPr>
              <w:t>, lett. g) della Legge 14.1.1994, n. 20?</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F14D87"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C38196C" w14:textId="77777777" w:rsidR="00267D72" w:rsidRPr="00AB1C7E" w:rsidRDefault="00267D72" w:rsidP="0054413A">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3414DC"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11007A"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3488EA50" w14:textId="77777777" w:rsidTr="0083618B">
        <w:trPr>
          <w:trHeight w:val="4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C0B8DC9" w14:textId="694FF0A2" w:rsidR="00267D72" w:rsidRPr="002674CC" w:rsidRDefault="00267D72"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2674CC">
              <w:rPr>
                <w:rFonts w:asciiTheme="minorHAnsi" w:hAnsiTheme="minorHAnsi" w:cstheme="minorHAnsi"/>
                <w:bCs/>
                <w:sz w:val="20"/>
                <w:szCs w:val="20"/>
              </w:rPr>
              <w:t xml:space="preserve">Nella documentazione di gara è stato previsto, solo nel caso in cui sia stato concordato con l’Autorità </w:t>
            </w:r>
            <w:r w:rsidR="00AB6CD3">
              <w:rPr>
                <w:rFonts w:asciiTheme="minorHAnsi" w:hAnsiTheme="minorHAnsi" w:cstheme="minorHAnsi"/>
                <w:bCs/>
                <w:sz w:val="20"/>
                <w:szCs w:val="20"/>
              </w:rPr>
              <w:t>di Gestione</w:t>
            </w:r>
            <w:r w:rsidRPr="002674CC">
              <w:rPr>
                <w:rFonts w:asciiTheme="minorHAnsi" w:hAnsiTheme="minorHAnsi" w:cstheme="minorHAnsi"/>
                <w:bCs/>
                <w:sz w:val="20"/>
                <w:szCs w:val="20"/>
              </w:rPr>
              <w:t xml:space="preserve">, l’utilizzo del circuito finanziario che prevede il pagamento delle fatture del soggetto attuatore direttamente da parte dell’Ufficio </w:t>
            </w:r>
            <w:r>
              <w:rPr>
                <w:rFonts w:asciiTheme="minorHAnsi" w:hAnsiTheme="minorHAnsi" w:cstheme="minorHAnsi"/>
                <w:bCs/>
                <w:sz w:val="20"/>
                <w:szCs w:val="20"/>
              </w:rPr>
              <w:t>Economico Finanziario</w:t>
            </w:r>
            <w:r w:rsidRPr="002674CC">
              <w:rPr>
                <w:rFonts w:asciiTheme="minorHAnsi" w:hAnsiTheme="minorHAnsi" w:cstheme="minorHAnsi"/>
                <w:bCs/>
                <w:sz w:val="20"/>
                <w:szCs w:val="20"/>
              </w:rPr>
              <w:t xml:space="preserve"> della Segreteria Tecnica mediante la delegazione di pagamento</w:t>
            </w:r>
            <w:r>
              <w:rPr>
                <w:rFonts w:asciiTheme="minorHAnsi" w:hAnsiTheme="minorHAnsi" w:cstheme="minorHAnsi"/>
                <w:bCs/>
                <w:sz w:val="20"/>
                <w:szCs w:val="20"/>
              </w:rPr>
              <w:t>:</w:t>
            </w:r>
            <w:r w:rsidRPr="002674CC">
              <w:rPr>
                <w:rFonts w:asciiTheme="minorHAnsi" w:hAnsiTheme="minorHAnsi" w:cstheme="minorHAnsi"/>
                <w:bCs/>
                <w:sz w:val="20"/>
                <w:szCs w:val="20"/>
              </w:rPr>
              <w:t xml:space="preserve"> “</w:t>
            </w:r>
            <w:r w:rsidRPr="002674CC">
              <w:rPr>
                <w:rFonts w:asciiTheme="minorHAnsi" w:hAnsiTheme="minorHAnsi" w:cstheme="minorHAnsi"/>
                <w:bCs/>
                <w:i/>
                <w:sz w:val="20"/>
                <w:szCs w:val="20"/>
              </w:rPr>
              <w:t xml:space="preserve">Al pagamento delle spese sostenute dal soggetto attuatore è delegato il Ministero dell’Interno, per il tramite dell’Ufficio </w:t>
            </w:r>
            <w:r>
              <w:rPr>
                <w:rFonts w:asciiTheme="minorHAnsi" w:hAnsiTheme="minorHAnsi" w:cstheme="minorHAnsi"/>
                <w:bCs/>
                <w:i/>
                <w:sz w:val="20"/>
                <w:szCs w:val="20"/>
              </w:rPr>
              <w:t>Economico Finanziario</w:t>
            </w:r>
            <w:r w:rsidRPr="002674CC">
              <w:rPr>
                <w:rFonts w:asciiTheme="minorHAnsi" w:hAnsiTheme="minorHAnsi" w:cstheme="minorHAnsi"/>
                <w:bCs/>
                <w:i/>
                <w:sz w:val="20"/>
                <w:szCs w:val="20"/>
              </w:rPr>
              <w:t xml:space="preserve"> della Segreteria Tecnica Amministrativa per la gestione dei Fondi Europei e Programmi Operativi Nazionali</w:t>
            </w:r>
            <w:r w:rsidRPr="002674CC">
              <w:rPr>
                <w:rFonts w:asciiTheme="minorHAnsi" w:hAnsiTheme="minorHAnsi" w:cstheme="minorHAnsi"/>
                <w:bCs/>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4B3FB8"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D85EAA" w14:textId="77777777" w:rsidR="00267D72" w:rsidRPr="00AB1C7E" w:rsidRDefault="00267D72" w:rsidP="0054413A">
            <w:pPr>
              <w:pStyle w:val="Paragrafoelenco1"/>
              <w:ind w:left="0"/>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6B4A462"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B130A8F" w14:textId="77777777" w:rsidR="00267D72" w:rsidRPr="00AB1C7E" w:rsidRDefault="00267D72" w:rsidP="0054413A">
            <w:pPr>
              <w:jc w:val="center"/>
              <w:rPr>
                <w:rFonts w:asciiTheme="minorHAnsi" w:hAnsiTheme="minorHAnsi" w:cstheme="minorHAnsi"/>
                <w:b/>
                <w:bCs/>
                <w:sz w:val="20"/>
                <w:szCs w:val="20"/>
              </w:rPr>
            </w:pPr>
          </w:p>
        </w:tc>
      </w:tr>
      <w:tr w:rsidR="00FB1D21" w:rsidRPr="00AB1C7E" w14:paraId="56A93E0D" w14:textId="77777777" w:rsidTr="0083618B">
        <w:trPr>
          <w:trHeight w:val="4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91DB27" w14:textId="77777777" w:rsidR="00FB1D21" w:rsidRPr="002674CC" w:rsidRDefault="00FB1D21"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9A7571">
              <w:rPr>
                <w:rFonts w:asciiTheme="minorHAnsi" w:hAnsiTheme="minorHAnsi" w:cstheme="minorHAnsi"/>
                <w:sz w:val="20"/>
                <w:szCs w:val="20"/>
              </w:rPr>
              <w:t xml:space="preserve">I concorrenti hanno presentato il Documento di Gara Unico Europeo (DGUE) </w:t>
            </w:r>
            <w:r>
              <w:rPr>
                <w:rFonts w:asciiTheme="minorHAnsi" w:hAnsiTheme="minorHAnsi" w:cstheme="minorHAnsi"/>
                <w:sz w:val="20"/>
                <w:szCs w:val="20"/>
              </w:rPr>
              <w:t xml:space="preserve">ai sensi dell’ </w:t>
            </w:r>
            <w:r w:rsidRPr="009A7571">
              <w:rPr>
                <w:rFonts w:asciiTheme="minorHAnsi" w:hAnsiTheme="minorHAnsi" w:cstheme="minorHAnsi"/>
                <w:sz w:val="20"/>
                <w:szCs w:val="20"/>
              </w:rPr>
              <w:t xml:space="preserve">art. 85, </w:t>
            </w:r>
            <w:r w:rsidRPr="009A7571">
              <w:rPr>
                <w:rFonts w:asciiTheme="minorHAnsi" w:hAnsiTheme="minorHAnsi" w:cstheme="minorHAnsi"/>
                <w:sz w:val="20"/>
                <w:szCs w:val="20"/>
              </w:rPr>
              <w:lastRenderedPageBreak/>
              <w:t>d.lgs. 50/2016</w:t>
            </w:r>
            <w:r>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9123B7" w14:textId="77777777" w:rsidR="00FB1D21" w:rsidRPr="00AB1C7E" w:rsidRDefault="00FB1D21"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413CDF8" w14:textId="77777777" w:rsidR="00FB1D21" w:rsidRPr="00AB1C7E" w:rsidRDefault="00FB1D21" w:rsidP="0054413A">
            <w:pPr>
              <w:pStyle w:val="Paragrafoelenco1"/>
              <w:ind w:left="0"/>
              <w:rPr>
                <w:rFonts w:asciiTheme="minorHAnsi" w:hAnsiTheme="minorHAnsi" w:cstheme="minorHAnsi"/>
                <w:sz w:val="20"/>
                <w:szCs w:val="20"/>
              </w:rPr>
            </w:pPr>
            <w:r w:rsidRPr="00873E03">
              <w:rPr>
                <w:rFonts w:asciiTheme="minorHAnsi" w:hAnsiTheme="minorHAnsi" w:cs="Calibri"/>
                <w:sz w:val="18"/>
                <w:szCs w:val="18"/>
              </w:rPr>
              <w:t>DGUE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6D15632" w14:textId="77777777" w:rsidR="00FB1D21" w:rsidRPr="00AB1C7E" w:rsidRDefault="00FB1D21"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E4915C" w14:textId="77777777" w:rsidR="00FB1D21" w:rsidRPr="00AB1C7E" w:rsidRDefault="00FB1D21" w:rsidP="0054413A">
            <w:pPr>
              <w:jc w:val="center"/>
              <w:rPr>
                <w:rFonts w:asciiTheme="minorHAnsi" w:hAnsiTheme="minorHAnsi" w:cstheme="minorHAnsi"/>
                <w:b/>
                <w:bCs/>
                <w:sz w:val="20"/>
                <w:szCs w:val="20"/>
              </w:rPr>
            </w:pPr>
          </w:p>
        </w:tc>
      </w:tr>
      <w:tr w:rsidR="00267D72" w:rsidRPr="00AB1C7E" w14:paraId="75AEE941" w14:textId="77777777" w:rsidTr="0083618B">
        <w:trPr>
          <w:trHeight w:val="161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BE6B70" w14:textId="77777777" w:rsidR="00267D72" w:rsidRPr="00AB1C7E" w:rsidRDefault="00267D72"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AB1C7E">
              <w:rPr>
                <w:rFonts w:asciiTheme="minorHAnsi" w:hAnsiTheme="minorHAnsi" w:cstheme="minorHAnsi"/>
                <w:sz w:val="20"/>
                <w:szCs w:val="20"/>
              </w:rPr>
              <w:t xml:space="preserve">I termini indicati nella documentazione di gara rispettano le </w:t>
            </w:r>
            <w:r w:rsidR="001769D0">
              <w:rPr>
                <w:rFonts w:asciiTheme="minorHAnsi" w:hAnsiTheme="minorHAnsi" w:cstheme="minorHAnsi"/>
                <w:sz w:val="20"/>
                <w:szCs w:val="20"/>
              </w:rPr>
              <w:t xml:space="preserve">indicazioni di cui all’art. 55 </w:t>
            </w:r>
            <w:r w:rsidRPr="00AB1C7E">
              <w:rPr>
                <w:rFonts w:asciiTheme="minorHAnsi" w:hAnsiTheme="minorHAnsi" w:cstheme="minorHAnsi"/>
                <w:sz w:val="20"/>
                <w:szCs w:val="20"/>
              </w:rPr>
              <w:t xml:space="preserve">del </w:t>
            </w:r>
            <w:proofErr w:type="spellStart"/>
            <w:r w:rsidRPr="00AB1C7E">
              <w:rPr>
                <w:rFonts w:asciiTheme="minorHAnsi" w:hAnsiTheme="minorHAnsi" w:cstheme="minorHAnsi"/>
                <w:sz w:val="20"/>
                <w:szCs w:val="20"/>
              </w:rPr>
              <w:t>D.Lgs.</w:t>
            </w:r>
            <w:proofErr w:type="spellEnd"/>
            <w:r w:rsidRPr="00AB1C7E">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52C850C"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7F903A2" w14:textId="77777777" w:rsidR="00267D72" w:rsidRPr="00AB1C7E" w:rsidRDefault="00267D72" w:rsidP="00912DCD">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0D5BBC"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684F4C4"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3D0DBEDE" w14:textId="77777777" w:rsidTr="00953A3B">
        <w:trPr>
          <w:trHeight w:val="567"/>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374B96" w14:textId="77777777" w:rsidR="00267D72" w:rsidRPr="00AB1C7E" w:rsidRDefault="00267D72" w:rsidP="00EE1895">
            <w:pPr>
              <w:pStyle w:val="Paragrafoelenco1"/>
              <w:numPr>
                <w:ilvl w:val="0"/>
                <w:numId w:val="1"/>
              </w:numPr>
              <w:spacing w:before="120" w:after="120" w:line="276" w:lineRule="auto"/>
              <w:jc w:val="both"/>
              <w:rPr>
                <w:rFonts w:asciiTheme="minorHAnsi" w:hAnsiTheme="minorHAnsi" w:cstheme="minorHAnsi"/>
                <w:bCs/>
                <w:sz w:val="20"/>
                <w:szCs w:val="20"/>
              </w:rPr>
            </w:pPr>
            <w:r w:rsidRPr="00AB1C7E">
              <w:rPr>
                <w:rFonts w:asciiTheme="minorHAnsi" w:hAnsiTheme="minorHAnsi" w:cstheme="minorHAnsi"/>
                <w:sz w:val="20"/>
                <w:szCs w:val="20"/>
              </w:rPr>
              <w:t>In caso di richieste di chiarimenti in merito alla documentazione di gara, le risposte sono state messe a disposizione di tutti gli operatori economici?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5BA5C4"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CF315BD" w14:textId="77777777" w:rsidR="00267D72" w:rsidRPr="00AB1C7E" w:rsidRDefault="00267D72" w:rsidP="008D1704">
            <w:pPr>
              <w:pStyle w:val="Paragrafoelenco1"/>
              <w:numPr>
                <w:ilvl w:val="0"/>
                <w:numId w:val="6"/>
              </w:numPr>
              <w:ind w:left="186" w:hanging="142"/>
              <w:rPr>
                <w:rFonts w:asciiTheme="minorHAnsi" w:hAnsiTheme="minorHAnsi" w:cstheme="minorHAnsi"/>
                <w:sz w:val="20"/>
                <w:szCs w:val="20"/>
              </w:rPr>
            </w:pPr>
            <w:r w:rsidRPr="00AB1C7E">
              <w:rPr>
                <w:rFonts w:asciiTheme="minorHAnsi" w:hAnsiTheme="minorHAnsi" w:cstheme="minorHAnsi"/>
                <w:sz w:val="20"/>
                <w:szCs w:val="20"/>
              </w:rPr>
              <w:t xml:space="preserve"> comunicazioni nel quadro di un sistema dinamico di acquisizione sono effettuate esclusivamente con mezzi elettronici conformemente all'articolo</w:t>
            </w:r>
            <w:r w:rsidR="00ED199F">
              <w:rPr>
                <w:rFonts w:asciiTheme="minorHAnsi" w:hAnsiTheme="minorHAnsi" w:cstheme="minorHAnsi"/>
                <w:sz w:val="20"/>
                <w:szCs w:val="20"/>
              </w:rPr>
              <w:t xml:space="preserve"> 52, commi 1, 2, 3, 5, 6, 8 e 9 </w:t>
            </w:r>
            <w:r w:rsidRPr="00AB1C7E">
              <w:rPr>
                <w:rFonts w:asciiTheme="minorHAnsi" w:hAnsiTheme="minorHAnsi" w:cstheme="minorHAnsi"/>
                <w:sz w:val="20"/>
                <w:szCs w:val="20"/>
              </w:rPr>
              <w:t xml:space="preserve"> Dlgs n. 50/2016</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95BCB7"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759624"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3A0C4372" w14:textId="77777777" w:rsidTr="00953A3B">
        <w:trPr>
          <w:trHeight w:val="476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6011AE" w14:textId="77777777" w:rsidR="00267D72" w:rsidRPr="000933F8"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0933F8">
              <w:rPr>
                <w:rFonts w:asciiTheme="minorHAnsi" w:hAnsiTheme="minorHAnsi" w:cstheme="minorHAnsi"/>
                <w:sz w:val="20"/>
                <w:szCs w:val="20"/>
              </w:rPr>
              <w:lastRenderedPageBreak/>
              <w:t xml:space="preserve">In caso di aggiudicazione con il criterio dell’offerta economicamente più vantaggiosa individuata sulla base del </w:t>
            </w:r>
            <w:r w:rsidR="001769D0">
              <w:rPr>
                <w:rFonts w:asciiTheme="minorHAnsi" w:hAnsiTheme="minorHAnsi" w:cstheme="minorHAnsi"/>
                <w:sz w:val="20"/>
                <w:szCs w:val="20"/>
              </w:rPr>
              <w:t>miglior rapporto qualità/prezzo</w:t>
            </w:r>
            <w:r w:rsidRPr="000933F8">
              <w:rPr>
                <w:rFonts w:asciiTheme="minorHAnsi" w:hAnsiTheme="minorHAnsi" w:cstheme="minorHAnsi"/>
                <w:sz w:val="20"/>
                <w:szCs w:val="20"/>
              </w:rPr>
              <w:t>:</w:t>
            </w:r>
          </w:p>
          <w:p w14:paraId="2793218B" w14:textId="77777777" w:rsidR="00267D72" w:rsidRPr="00AB1C7E" w:rsidRDefault="002F30FE" w:rsidP="002674CC">
            <w:pPr>
              <w:pStyle w:val="Paragrafoelenco1"/>
              <w:numPr>
                <w:ilvl w:val="0"/>
                <w:numId w:val="11"/>
              </w:numPr>
              <w:spacing w:before="120" w:after="120" w:line="276" w:lineRule="auto"/>
              <w:jc w:val="both"/>
              <w:rPr>
                <w:rFonts w:asciiTheme="minorHAnsi" w:hAnsiTheme="minorHAnsi" w:cstheme="minorHAnsi"/>
                <w:sz w:val="20"/>
                <w:szCs w:val="20"/>
              </w:rPr>
            </w:pPr>
            <w:r w:rsidRPr="000933F8">
              <w:rPr>
                <w:rFonts w:asciiTheme="minorHAnsi" w:hAnsiTheme="minorHAnsi" w:cstheme="minorHAnsi"/>
                <w:sz w:val="20"/>
                <w:szCs w:val="20"/>
              </w:rPr>
              <w:t>la commissione giudicatrice</w:t>
            </w:r>
            <w:r w:rsidRPr="00AB1C7E">
              <w:rPr>
                <w:rFonts w:asciiTheme="minorHAnsi" w:hAnsiTheme="minorHAnsi" w:cstheme="minorHAnsi"/>
                <w:sz w:val="20"/>
                <w:szCs w:val="20"/>
              </w:rPr>
              <w:t xml:space="preserve"> </w:t>
            </w:r>
            <w:r w:rsidR="00267D72" w:rsidRPr="00AB1C7E">
              <w:rPr>
                <w:rFonts w:asciiTheme="minorHAnsi" w:hAnsiTheme="minorHAnsi" w:cstheme="minorHAnsi"/>
                <w:sz w:val="20"/>
                <w:szCs w:val="20"/>
              </w:rPr>
              <w:t xml:space="preserve">è stata nominata successivamente alla scadenza dei termini per </w:t>
            </w:r>
            <w:r w:rsidR="00267D72">
              <w:rPr>
                <w:rFonts w:asciiTheme="minorHAnsi" w:hAnsiTheme="minorHAnsi" w:cstheme="minorHAnsi"/>
                <w:sz w:val="20"/>
                <w:szCs w:val="20"/>
              </w:rPr>
              <w:t>la presentazione delle offerte?</w:t>
            </w:r>
          </w:p>
          <w:p w14:paraId="058FF9DF" w14:textId="77777777" w:rsidR="009A225E" w:rsidRPr="006A0DAC" w:rsidRDefault="009A225E" w:rsidP="009A225E">
            <w:pPr>
              <w:pStyle w:val="Paragrafoelenco1"/>
              <w:numPr>
                <w:ilvl w:val="0"/>
                <w:numId w:val="11"/>
              </w:numPr>
              <w:spacing w:before="120" w:after="120" w:line="276" w:lineRule="auto"/>
              <w:ind w:left="714" w:hanging="357"/>
              <w:jc w:val="both"/>
              <w:rPr>
                <w:rFonts w:asciiTheme="minorHAnsi" w:hAnsiTheme="minorHAnsi" w:cstheme="minorHAnsi"/>
                <w:sz w:val="20"/>
                <w:szCs w:val="20"/>
              </w:rPr>
            </w:pPr>
            <w:r>
              <w:rPr>
                <w:rFonts w:asciiTheme="minorHAnsi" w:hAnsiTheme="minorHAnsi" w:cstheme="minorHAnsi"/>
                <w:sz w:val="20"/>
                <w:szCs w:val="20"/>
              </w:rPr>
              <w:t xml:space="preserve">i membri della commissione giudicatrice hanno reso la dichiarazione sulla insussistenza di cause di incompatibilità in data successiva alla </w:t>
            </w:r>
            <w:r w:rsidRPr="000C7E32">
              <w:rPr>
                <w:rFonts w:asciiTheme="minorHAnsi" w:hAnsiTheme="minorHAnsi" w:cstheme="minorHAnsi"/>
                <w:sz w:val="20"/>
                <w:szCs w:val="20"/>
              </w:rPr>
              <w:t>scadenza dei termini per la presentazione delle offerte?</w:t>
            </w:r>
          </w:p>
          <w:p w14:paraId="527AA976" w14:textId="26DBFA22" w:rsidR="00267D72" w:rsidRPr="00AB1C7E" w:rsidRDefault="002F30FE" w:rsidP="002674CC">
            <w:pPr>
              <w:pStyle w:val="Paragrafoelenco1"/>
              <w:numPr>
                <w:ilvl w:val="0"/>
                <w:numId w:val="11"/>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commissione giudicatrice</w:t>
            </w:r>
            <w:r w:rsidRPr="00AB1C7E">
              <w:rPr>
                <w:rFonts w:asciiTheme="minorHAnsi" w:hAnsiTheme="minorHAnsi" w:cstheme="minorHAnsi"/>
                <w:sz w:val="20"/>
                <w:szCs w:val="20"/>
              </w:rPr>
              <w:t xml:space="preserve"> </w:t>
            </w:r>
            <w:r w:rsidR="00267D72" w:rsidRPr="00AB1C7E">
              <w:rPr>
                <w:rFonts w:asciiTheme="minorHAnsi" w:hAnsiTheme="minorHAnsi" w:cstheme="minorHAnsi"/>
                <w:sz w:val="20"/>
                <w:szCs w:val="20"/>
              </w:rPr>
              <w:t>è composta da un numero dispari di componenti, in numero massimo di cinque, esperti nello specifico settore cui si rif</w:t>
            </w:r>
            <w:r w:rsidR="00267D72">
              <w:rPr>
                <w:rFonts w:asciiTheme="minorHAnsi" w:hAnsiTheme="minorHAnsi" w:cstheme="minorHAnsi"/>
                <w:sz w:val="20"/>
                <w:szCs w:val="20"/>
              </w:rPr>
              <w:t>erisce l’oggetto del contratto?</w:t>
            </w:r>
          </w:p>
          <w:p w14:paraId="46C3F726" w14:textId="77777777" w:rsidR="00267D72" w:rsidRDefault="00561FD3" w:rsidP="002674CC">
            <w:pPr>
              <w:pStyle w:val="Paragrafoelenco1"/>
              <w:numPr>
                <w:ilvl w:val="0"/>
                <w:numId w:val="1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i </w:t>
            </w:r>
            <w:r w:rsidR="00267D72" w:rsidRPr="00AB1C7E">
              <w:rPr>
                <w:rFonts w:asciiTheme="minorHAnsi" w:hAnsiTheme="minorHAnsi" w:cstheme="minorHAnsi"/>
                <w:sz w:val="20"/>
                <w:szCs w:val="20"/>
              </w:rPr>
              <w:t xml:space="preserve">commissari sono scelti fra gli esperti iscritti all’Albo istituito presso l’ANAC mediante sorteggio pubblico </w:t>
            </w:r>
            <w:r w:rsidR="003553B8">
              <w:rPr>
                <w:rFonts w:asciiTheme="minorHAnsi" w:hAnsiTheme="minorHAnsi" w:cstheme="minorHAnsi"/>
                <w:sz w:val="20"/>
                <w:szCs w:val="20"/>
              </w:rPr>
              <w:t>ai sensi de</w:t>
            </w:r>
            <w:r w:rsidR="00267D72" w:rsidRPr="00AB1C7E">
              <w:rPr>
                <w:rFonts w:asciiTheme="minorHAnsi" w:hAnsiTheme="minorHAnsi" w:cstheme="minorHAnsi"/>
                <w:sz w:val="20"/>
                <w:szCs w:val="20"/>
              </w:rPr>
              <w:t>ll’art. 7</w:t>
            </w:r>
            <w:r w:rsidR="003553B8">
              <w:rPr>
                <w:rFonts w:asciiTheme="minorHAnsi" w:hAnsiTheme="minorHAnsi" w:cstheme="minorHAnsi"/>
                <w:sz w:val="20"/>
                <w:szCs w:val="20"/>
              </w:rPr>
              <w:t>7, comma 3</w:t>
            </w:r>
            <w:r w:rsidR="003553B8" w:rsidRPr="00AB1C7E">
              <w:rPr>
                <w:rFonts w:asciiTheme="minorHAnsi" w:hAnsiTheme="minorHAnsi" w:cstheme="minorHAnsi"/>
                <w:sz w:val="20"/>
                <w:szCs w:val="20"/>
              </w:rPr>
              <w:t>*</w:t>
            </w:r>
            <w:r w:rsidR="00267D72" w:rsidRPr="00AB1C7E">
              <w:rPr>
                <w:rFonts w:asciiTheme="minorHAnsi" w:hAnsiTheme="minorHAnsi" w:cstheme="minorHAnsi"/>
                <w:sz w:val="20"/>
                <w:szCs w:val="20"/>
              </w:rPr>
              <w:t xml:space="preserve"> d.lgs. 50/2016</w:t>
            </w:r>
            <w:r w:rsidR="00267D72">
              <w:rPr>
                <w:rFonts w:asciiTheme="minorHAnsi" w:hAnsiTheme="minorHAnsi" w:cstheme="minorHAnsi"/>
                <w:sz w:val="20"/>
                <w:szCs w:val="20"/>
              </w:rPr>
              <w:t>?</w:t>
            </w:r>
          </w:p>
          <w:p w14:paraId="66ED3A21" w14:textId="77777777" w:rsidR="00267D72" w:rsidRPr="00AB1C7E" w:rsidRDefault="002F30FE" w:rsidP="002674CC">
            <w:pPr>
              <w:pStyle w:val="Paragrafoelenco1"/>
              <w:numPr>
                <w:ilvl w:val="0"/>
                <w:numId w:val="11"/>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commissione giudicatrice</w:t>
            </w:r>
            <w:r w:rsidRPr="00AB1C7E">
              <w:rPr>
                <w:rFonts w:asciiTheme="minorHAnsi" w:hAnsiTheme="minorHAnsi" w:cstheme="minorHAnsi"/>
                <w:sz w:val="20"/>
                <w:szCs w:val="20"/>
              </w:rPr>
              <w:t xml:space="preserve"> </w:t>
            </w:r>
            <w:r w:rsidR="00267D72" w:rsidRPr="00AB1C7E">
              <w:rPr>
                <w:rFonts w:asciiTheme="minorHAnsi" w:hAnsiTheme="minorHAnsi" w:cstheme="minorHAnsi"/>
                <w:sz w:val="20"/>
                <w:szCs w:val="20"/>
              </w:rPr>
              <w:t xml:space="preserve">è composta da commissari che non devono aver svolto né possono svolgere alcun’altra funzione o incarico tecnico o amministrativo </w:t>
            </w:r>
            <w:r w:rsidR="00267D72" w:rsidRPr="00AB1C7E">
              <w:rPr>
                <w:rFonts w:asciiTheme="minorHAnsi" w:hAnsiTheme="minorHAnsi" w:cstheme="minorHAnsi"/>
                <w:sz w:val="20"/>
                <w:szCs w:val="20"/>
              </w:rPr>
              <w:lastRenderedPageBreak/>
              <w:t>relativamente al contratto del cui affidamento si tratta ai sensi dell’ar</w:t>
            </w:r>
            <w:r w:rsidR="00267D72">
              <w:rPr>
                <w:rFonts w:asciiTheme="minorHAnsi" w:hAnsiTheme="minorHAnsi" w:cstheme="minorHAnsi"/>
                <w:sz w:val="20"/>
                <w:szCs w:val="20"/>
              </w:rPr>
              <w:t xml:space="preserve">t. 77 comma del </w:t>
            </w:r>
            <w:proofErr w:type="spellStart"/>
            <w:r w:rsidR="00267D72">
              <w:rPr>
                <w:rFonts w:asciiTheme="minorHAnsi" w:hAnsiTheme="minorHAnsi" w:cstheme="minorHAnsi"/>
                <w:sz w:val="20"/>
                <w:szCs w:val="20"/>
              </w:rPr>
              <w:t>D.Lgs.</w:t>
            </w:r>
            <w:proofErr w:type="spellEnd"/>
            <w:r w:rsidR="00267D72">
              <w:rPr>
                <w:rFonts w:asciiTheme="minorHAnsi" w:hAnsiTheme="minorHAnsi" w:cstheme="minorHAnsi"/>
                <w:sz w:val="20"/>
                <w:szCs w:val="20"/>
              </w:rPr>
              <w:t xml:space="preserve"> 50/2016?</w:t>
            </w:r>
          </w:p>
          <w:p w14:paraId="35DBEF36" w14:textId="77777777" w:rsidR="00267D72" w:rsidRPr="00C94585" w:rsidRDefault="00561FD3" w:rsidP="002674CC">
            <w:pPr>
              <w:pStyle w:val="Paragrafoelenco"/>
              <w:numPr>
                <w:ilvl w:val="0"/>
                <w:numId w:val="1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w:t>
            </w:r>
            <w:r w:rsidR="00267D72" w:rsidRPr="00AB1C7E">
              <w:rPr>
                <w:rFonts w:asciiTheme="minorHAnsi" w:hAnsiTheme="minorHAnsi" w:cstheme="minorHAnsi"/>
                <w:sz w:val="20"/>
                <w:szCs w:val="20"/>
              </w:rPr>
              <w:t>a nomina del RUP a membro delle commissioni di gara è valutata con riferimento alla singola procedura ai sensi dell’art. 77,</w:t>
            </w:r>
            <w:r w:rsidR="00267D72">
              <w:rPr>
                <w:rFonts w:asciiTheme="minorHAnsi" w:hAnsiTheme="minorHAnsi" w:cstheme="minorHAnsi"/>
                <w:sz w:val="20"/>
                <w:szCs w:val="20"/>
              </w:rPr>
              <w:t xml:space="preserve"> comma 4 del d.lgs. n. 50/2016?</w:t>
            </w:r>
          </w:p>
          <w:p w14:paraId="5174C1AF" w14:textId="77777777" w:rsidR="00267D72" w:rsidRPr="00AB1C7E" w:rsidRDefault="002F30FE" w:rsidP="002674CC">
            <w:pPr>
              <w:pStyle w:val="Paragrafoelenco1"/>
              <w:numPr>
                <w:ilvl w:val="0"/>
                <w:numId w:val="11"/>
              </w:numPr>
              <w:spacing w:before="120" w:after="120" w:line="276" w:lineRule="auto"/>
              <w:jc w:val="both"/>
              <w:rPr>
                <w:rFonts w:asciiTheme="minorHAnsi" w:hAnsiTheme="minorHAnsi" w:cstheme="minorHAnsi"/>
                <w:sz w:val="20"/>
                <w:szCs w:val="20"/>
              </w:rPr>
            </w:pPr>
            <w:r w:rsidRPr="006A0DAC">
              <w:rPr>
                <w:rFonts w:asciiTheme="minorHAnsi" w:hAnsiTheme="minorHAnsi" w:cstheme="minorHAnsi"/>
                <w:sz w:val="20"/>
                <w:szCs w:val="20"/>
              </w:rPr>
              <w:t>la commissione giudicatrice</w:t>
            </w:r>
            <w:r w:rsidRPr="00AB1C7E">
              <w:rPr>
                <w:rFonts w:asciiTheme="minorHAnsi" w:hAnsiTheme="minorHAnsi" w:cstheme="minorHAnsi"/>
                <w:sz w:val="20"/>
                <w:szCs w:val="20"/>
              </w:rPr>
              <w:t xml:space="preserve"> </w:t>
            </w:r>
            <w:r w:rsidR="00267D72" w:rsidRPr="00AB1C7E">
              <w:rPr>
                <w:rFonts w:asciiTheme="minorHAnsi" w:hAnsiTheme="minorHAnsi" w:cstheme="minorHAnsi"/>
                <w:sz w:val="20"/>
                <w:szCs w:val="20"/>
              </w:rPr>
              <w:t>è composta da commissari:</w:t>
            </w:r>
          </w:p>
          <w:p w14:paraId="073732F7" w14:textId="77777777" w:rsidR="00267D72" w:rsidRPr="00AB1C7E" w:rsidRDefault="00267D72" w:rsidP="002674CC">
            <w:pPr>
              <w:pStyle w:val="Paragrafoelenco1"/>
              <w:numPr>
                <w:ilvl w:val="0"/>
                <w:numId w:val="15"/>
              </w:numPr>
              <w:spacing w:before="120" w:after="120" w:line="276" w:lineRule="auto"/>
              <w:ind w:left="895" w:hanging="142"/>
              <w:jc w:val="both"/>
              <w:rPr>
                <w:rFonts w:asciiTheme="minorHAnsi" w:hAnsiTheme="minorHAnsi" w:cstheme="minorHAnsi"/>
                <w:sz w:val="20"/>
                <w:szCs w:val="20"/>
              </w:rPr>
            </w:pPr>
            <w:r w:rsidRPr="00AB1C7E">
              <w:rPr>
                <w:rFonts w:asciiTheme="minorHAnsi" w:hAnsiTheme="minorHAnsi" w:cstheme="minorHAnsi"/>
                <w:sz w:val="20"/>
                <w:szCs w:val="20"/>
              </w:rPr>
              <w:t xml:space="preserve">che non sono stati condannati, anche con sentenza non passata in giudicato, per i reati di cui al capo I del titolo II del libro II del </w:t>
            </w:r>
            <w:proofErr w:type="gramStart"/>
            <w:r w:rsidRPr="00AB1C7E">
              <w:rPr>
                <w:rFonts w:asciiTheme="minorHAnsi" w:hAnsiTheme="minorHAnsi" w:cstheme="minorHAnsi"/>
                <w:sz w:val="20"/>
                <w:szCs w:val="20"/>
              </w:rPr>
              <w:t>codice penale</w:t>
            </w:r>
            <w:proofErr w:type="gramEnd"/>
            <w:r w:rsidRPr="00AB1C7E">
              <w:rPr>
                <w:rFonts w:asciiTheme="minorHAnsi" w:hAnsiTheme="minorHAnsi" w:cstheme="minorHAnsi"/>
                <w:sz w:val="20"/>
                <w:szCs w:val="20"/>
              </w:rPr>
              <w:t xml:space="preserve"> (delitti contro la Pubblica Amministrazione) ai sensi dell’art. 35 bis del </w:t>
            </w:r>
            <w:proofErr w:type="spellStart"/>
            <w:r w:rsidRPr="00AB1C7E">
              <w:rPr>
                <w:rFonts w:asciiTheme="minorHAnsi" w:hAnsiTheme="minorHAnsi" w:cstheme="minorHAnsi"/>
                <w:sz w:val="20"/>
                <w:szCs w:val="20"/>
              </w:rPr>
              <w:t>D.Lgs.</w:t>
            </w:r>
            <w:proofErr w:type="spellEnd"/>
            <w:r w:rsidRPr="00AB1C7E">
              <w:rPr>
                <w:rFonts w:asciiTheme="minorHAnsi" w:hAnsiTheme="minorHAnsi" w:cstheme="minorHAnsi"/>
                <w:sz w:val="20"/>
                <w:szCs w:val="20"/>
              </w:rPr>
              <w:t xml:space="preserve"> 165/01?</w:t>
            </w:r>
          </w:p>
          <w:p w14:paraId="6BAADFC8" w14:textId="77777777" w:rsidR="00267D72" w:rsidRPr="00AB1C7E" w:rsidRDefault="00ED199F" w:rsidP="002674CC">
            <w:pPr>
              <w:pStyle w:val="Paragrafoelenco1"/>
              <w:numPr>
                <w:ilvl w:val="0"/>
                <w:numId w:val="15"/>
              </w:numPr>
              <w:spacing w:before="120" w:after="120" w:line="276" w:lineRule="auto"/>
              <w:ind w:left="895" w:hanging="142"/>
              <w:jc w:val="both"/>
              <w:rPr>
                <w:rFonts w:asciiTheme="minorHAnsi" w:hAnsiTheme="minorHAnsi" w:cstheme="minorHAnsi"/>
                <w:sz w:val="20"/>
                <w:szCs w:val="20"/>
              </w:rPr>
            </w:pPr>
            <w:r>
              <w:rPr>
                <w:rFonts w:asciiTheme="minorHAnsi" w:hAnsiTheme="minorHAnsi" w:cstheme="minorHAnsi"/>
                <w:sz w:val="20"/>
                <w:szCs w:val="20"/>
              </w:rPr>
              <w:t>p</w:t>
            </w:r>
            <w:r w:rsidR="00267D72" w:rsidRPr="00AB1C7E">
              <w:rPr>
                <w:rFonts w:asciiTheme="minorHAnsi" w:hAnsiTheme="minorHAnsi" w:cstheme="minorHAnsi"/>
                <w:sz w:val="20"/>
                <w:szCs w:val="20"/>
              </w:rPr>
              <w:t xml:space="preserve">er i quali non sussistono le condizioni di incompatibilità di cui all’articolo 51 del </w:t>
            </w:r>
            <w:proofErr w:type="gramStart"/>
            <w:r w:rsidR="00267D72" w:rsidRPr="00AB1C7E">
              <w:rPr>
                <w:rFonts w:asciiTheme="minorHAnsi" w:hAnsiTheme="minorHAnsi" w:cstheme="minorHAnsi"/>
                <w:sz w:val="20"/>
                <w:szCs w:val="20"/>
              </w:rPr>
              <w:t>codice di procedura civile</w:t>
            </w:r>
            <w:proofErr w:type="gramEnd"/>
            <w:r w:rsidR="00267D72" w:rsidRPr="00AB1C7E">
              <w:rPr>
                <w:rFonts w:asciiTheme="minorHAnsi" w:hAnsiTheme="minorHAnsi" w:cstheme="minorHAnsi"/>
                <w:sz w:val="20"/>
                <w:szCs w:val="20"/>
              </w:rPr>
              <w:t xml:space="preserve">, nonché all'articolo 42 del </w:t>
            </w:r>
            <w:proofErr w:type="spellStart"/>
            <w:r w:rsidR="00267D72" w:rsidRPr="00AB1C7E">
              <w:rPr>
                <w:rFonts w:asciiTheme="minorHAnsi" w:hAnsiTheme="minorHAnsi" w:cstheme="minorHAnsi"/>
                <w:sz w:val="20"/>
                <w:szCs w:val="20"/>
              </w:rPr>
              <w:t>D.Lgs.</w:t>
            </w:r>
            <w:proofErr w:type="spellEnd"/>
            <w:r w:rsidR="00267D72" w:rsidRPr="00AB1C7E">
              <w:rPr>
                <w:rFonts w:asciiTheme="minorHAnsi" w:hAnsiTheme="minorHAnsi" w:cstheme="minorHAnsi"/>
                <w:sz w:val="20"/>
                <w:szCs w:val="20"/>
              </w:rPr>
              <w:t xml:space="preserve"> 50/2016;</w:t>
            </w:r>
          </w:p>
          <w:p w14:paraId="1557E263" w14:textId="5464CF73" w:rsidR="00267D72" w:rsidRPr="00C94585" w:rsidRDefault="00ED199F" w:rsidP="002674CC">
            <w:pPr>
              <w:pStyle w:val="Paragrafoelenco1"/>
              <w:numPr>
                <w:ilvl w:val="0"/>
                <w:numId w:val="15"/>
              </w:numPr>
              <w:spacing w:before="120" w:after="120" w:line="276" w:lineRule="auto"/>
              <w:ind w:left="895" w:hanging="142"/>
              <w:jc w:val="both"/>
              <w:rPr>
                <w:rFonts w:asciiTheme="minorHAnsi" w:hAnsiTheme="minorHAnsi" w:cstheme="minorHAnsi"/>
                <w:sz w:val="20"/>
                <w:szCs w:val="20"/>
              </w:rPr>
            </w:pPr>
            <w:r>
              <w:rPr>
                <w:rFonts w:asciiTheme="minorHAnsi" w:hAnsiTheme="minorHAnsi" w:cstheme="minorHAnsi"/>
                <w:sz w:val="20"/>
                <w:szCs w:val="20"/>
              </w:rPr>
              <w:t>c</w:t>
            </w:r>
            <w:r w:rsidR="00267D72" w:rsidRPr="00AB1C7E">
              <w:rPr>
                <w:rFonts w:asciiTheme="minorHAnsi" w:hAnsiTheme="minorHAnsi" w:cstheme="minorHAnsi"/>
                <w:sz w:val="20"/>
                <w:szCs w:val="20"/>
              </w:rPr>
              <w:t xml:space="preserve">he in qualità di membri delle commissioni giudicatrici, </w:t>
            </w:r>
            <w:r w:rsidR="009A225E">
              <w:rPr>
                <w:rFonts w:asciiTheme="minorHAnsi" w:hAnsiTheme="minorHAnsi" w:cstheme="minorHAnsi"/>
                <w:sz w:val="20"/>
                <w:szCs w:val="20"/>
              </w:rPr>
              <w:t xml:space="preserve">non </w:t>
            </w:r>
            <w:r w:rsidR="00267D72" w:rsidRPr="00AB1C7E">
              <w:rPr>
                <w:rFonts w:asciiTheme="minorHAnsi" w:hAnsiTheme="minorHAnsi" w:cstheme="minorHAnsi"/>
                <w:sz w:val="20"/>
                <w:szCs w:val="20"/>
              </w:rPr>
              <w:t>abbiano concorso, con dolo o colpa grave accertati in sede giurisdizionale con sentenza non sospesa, all'approvazione di atti dichiarati illegittimi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794A4A3" w14:textId="77777777" w:rsidR="00267D72" w:rsidRPr="00AB1C7E" w:rsidRDefault="00267D72" w:rsidP="007E525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C7CF5A7"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Atto di nomina dei membri della commissione</w:t>
            </w:r>
          </w:p>
          <w:p w14:paraId="70E8EBD8"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Dichiarazioni di insussistenza di cause di </w:t>
            </w:r>
            <w:proofErr w:type="spellStart"/>
            <w:r w:rsidRPr="00AB1C7E">
              <w:rPr>
                <w:rFonts w:asciiTheme="minorHAnsi" w:hAnsiTheme="minorHAnsi" w:cstheme="minorHAnsi"/>
                <w:sz w:val="20"/>
                <w:szCs w:val="20"/>
              </w:rPr>
              <w:t>inconferibilità</w:t>
            </w:r>
            <w:proofErr w:type="spellEnd"/>
            <w:r w:rsidR="00ED199F">
              <w:rPr>
                <w:rFonts w:asciiTheme="minorHAnsi" w:hAnsiTheme="minorHAnsi" w:cstheme="minorHAnsi"/>
                <w:sz w:val="20"/>
                <w:szCs w:val="20"/>
              </w:rPr>
              <w:t xml:space="preserve"> </w:t>
            </w:r>
            <w:r w:rsidRPr="00AB1C7E">
              <w:rPr>
                <w:rFonts w:asciiTheme="minorHAnsi" w:hAnsiTheme="minorHAnsi" w:cstheme="minorHAnsi"/>
                <w:sz w:val="20"/>
                <w:szCs w:val="20"/>
              </w:rPr>
              <w:t>e incompatibilità</w:t>
            </w:r>
          </w:p>
          <w:p w14:paraId="32ACB80D" w14:textId="77777777" w:rsidR="00267D72" w:rsidRPr="00AB1C7E" w:rsidRDefault="00267D72" w:rsidP="00563AB8">
            <w:pPr>
              <w:pStyle w:val="Paragrafoelenco1"/>
              <w:spacing w:before="120" w:after="12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71DAADC" w14:textId="77777777" w:rsidR="00267D72" w:rsidRPr="00AB1C7E" w:rsidRDefault="00267D72" w:rsidP="0054413A">
            <w:pPr>
              <w:rPr>
                <w:rFonts w:asciiTheme="minorHAnsi" w:hAnsiTheme="minorHAnsi" w:cstheme="minorHAnsi"/>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8306F1F" w14:textId="77777777" w:rsidR="003553B8" w:rsidRDefault="00267D72" w:rsidP="00694A63">
            <w:pPr>
              <w:pStyle w:val="Testonotaapidipagina"/>
              <w:jc w:val="both"/>
              <w:rPr>
                <w:rFonts w:asciiTheme="minorHAnsi" w:hAnsiTheme="minorHAnsi" w:cstheme="minorHAnsi"/>
                <w:i/>
              </w:rPr>
            </w:pPr>
            <w:r w:rsidRPr="00004064">
              <w:rPr>
                <w:rFonts w:asciiTheme="minorHAnsi" w:hAnsiTheme="minorHAnsi" w:cstheme="minorHAnsi"/>
                <w:i/>
              </w:rPr>
              <w:t>*</w:t>
            </w:r>
            <w:r w:rsidR="003553B8" w:rsidRPr="00694A63">
              <w:rPr>
                <w:rFonts w:asciiTheme="minorHAnsi" w:hAnsiTheme="minorHAnsi" w:cstheme="minorHAnsi"/>
              </w:rPr>
              <w:t xml:space="preserve">. </w:t>
            </w:r>
            <w:r w:rsidR="009202C9">
              <w:rPr>
                <w:rFonts w:asciiTheme="minorHAnsi" w:hAnsiTheme="minorHAnsi" w:cstheme="minorHAnsi"/>
              </w:rPr>
              <w:t>L</w:t>
            </w:r>
            <w:r w:rsidR="0043211C">
              <w:rPr>
                <w:rFonts w:asciiTheme="minorHAnsi" w:hAnsiTheme="minorHAnsi" w:cstheme="minorHAnsi"/>
              </w:rPr>
              <w:t xml:space="preserve">’art. </w:t>
            </w:r>
            <w:r w:rsidR="003553B8" w:rsidRPr="00694A63">
              <w:rPr>
                <w:rFonts w:asciiTheme="minorHAnsi" w:hAnsiTheme="minorHAnsi" w:cstheme="minorHAnsi"/>
              </w:rPr>
              <w:t xml:space="preserve">1, comma 1, lett. c), della legge n. 55 del 2019 (di conversione del dl. n 32/2019), ha sospeso l’art. 77, comma 3 fino al 31 dicembre 2020 </w:t>
            </w:r>
            <w:r w:rsidR="00B869D2" w:rsidRPr="00694A63">
              <w:rPr>
                <w:rFonts w:asciiTheme="minorHAnsi" w:hAnsiTheme="minorHAnsi" w:cstheme="minorHAnsi"/>
              </w:rPr>
              <w:t>quanto all'obbligo di scegliere</w:t>
            </w:r>
            <w:r w:rsidR="003553B8" w:rsidRPr="00694A63">
              <w:rPr>
                <w:rFonts w:asciiTheme="minorHAnsi" w:hAnsiTheme="minorHAnsi" w:cstheme="minorHAnsi"/>
              </w:rPr>
              <w:t xml:space="preserve"> i </w:t>
            </w:r>
            <w:r w:rsidR="00B869D2" w:rsidRPr="00694A63">
              <w:rPr>
                <w:rFonts w:asciiTheme="minorHAnsi" w:hAnsiTheme="minorHAnsi" w:cstheme="minorHAnsi"/>
              </w:rPr>
              <w:t>commissari tra gli esperti iscritti  all'Albo</w:t>
            </w:r>
            <w:r w:rsidR="003553B8" w:rsidRPr="00694A63">
              <w:rPr>
                <w:rFonts w:asciiTheme="minorHAnsi" w:hAnsiTheme="minorHAnsi" w:cstheme="minorHAnsi"/>
              </w:rPr>
              <w:t xml:space="preserve"> istituito presso </w:t>
            </w:r>
            <w:proofErr w:type="spellStart"/>
            <w:r w:rsidR="003553B8" w:rsidRPr="00694A63">
              <w:rPr>
                <w:rFonts w:asciiTheme="minorHAnsi" w:hAnsiTheme="minorHAnsi" w:cstheme="minorHAnsi"/>
              </w:rPr>
              <w:t>l'Autorita'</w:t>
            </w:r>
            <w:proofErr w:type="spellEnd"/>
            <w:r w:rsidR="003553B8" w:rsidRPr="00694A63">
              <w:rPr>
                <w:rFonts w:asciiTheme="minorHAnsi" w:hAnsiTheme="minorHAnsi" w:cstheme="minorHAnsi"/>
              </w:rPr>
              <w:t xml:space="preserve"> nazionale anticorruzio</w:t>
            </w:r>
            <w:r w:rsidR="00B869D2" w:rsidRPr="00694A63">
              <w:rPr>
                <w:rFonts w:asciiTheme="minorHAnsi" w:hAnsiTheme="minorHAnsi" w:cstheme="minorHAnsi"/>
              </w:rPr>
              <w:t xml:space="preserve">ne (ANAC) di cui  all'articolo </w:t>
            </w:r>
            <w:r w:rsidR="003553B8" w:rsidRPr="00694A63">
              <w:rPr>
                <w:rFonts w:asciiTheme="minorHAnsi" w:hAnsiTheme="minorHAnsi" w:cstheme="minorHAnsi"/>
              </w:rPr>
              <w:t>78, fermo restando l'obbligo di individuar</w:t>
            </w:r>
            <w:r w:rsidR="00B869D2" w:rsidRPr="00694A63">
              <w:rPr>
                <w:rFonts w:asciiTheme="minorHAnsi" w:hAnsiTheme="minorHAnsi" w:cstheme="minorHAnsi"/>
              </w:rPr>
              <w:t>e i commissari</w:t>
            </w:r>
            <w:r w:rsidR="003553B8" w:rsidRPr="00694A63">
              <w:rPr>
                <w:rFonts w:asciiTheme="minorHAnsi" w:hAnsiTheme="minorHAnsi" w:cstheme="minorHAnsi"/>
              </w:rPr>
              <w:t xml:space="preserve"> secondo regole di competenza e trasparenza,</w:t>
            </w:r>
            <w:r w:rsidR="00A87015">
              <w:rPr>
                <w:rFonts w:asciiTheme="minorHAnsi" w:hAnsiTheme="minorHAnsi" w:cstheme="minorHAnsi"/>
              </w:rPr>
              <w:t xml:space="preserve"> </w:t>
            </w:r>
            <w:r w:rsidR="00B869D2" w:rsidRPr="00B869D2">
              <w:rPr>
                <w:rFonts w:asciiTheme="minorHAnsi" w:hAnsiTheme="minorHAnsi" w:cstheme="minorHAnsi"/>
              </w:rPr>
              <w:t xml:space="preserve">preventivamente individuate da </w:t>
            </w:r>
            <w:r w:rsidR="003553B8" w:rsidRPr="00694A63">
              <w:rPr>
                <w:rFonts w:asciiTheme="minorHAnsi" w:hAnsiTheme="minorHAnsi" w:cstheme="minorHAnsi"/>
              </w:rPr>
              <w:t>ciascuna stazione appaltante</w:t>
            </w:r>
          </w:p>
          <w:p w14:paraId="3523D0C1" w14:textId="77777777" w:rsidR="00267D72" w:rsidRPr="00004064" w:rsidRDefault="003553B8" w:rsidP="003553B8">
            <w:pPr>
              <w:pStyle w:val="Paragrafoelenco1"/>
              <w:spacing w:before="120" w:after="120"/>
              <w:ind w:left="0"/>
              <w:jc w:val="both"/>
              <w:rPr>
                <w:rFonts w:asciiTheme="minorHAnsi" w:hAnsiTheme="minorHAnsi" w:cstheme="minorHAnsi"/>
                <w:i/>
                <w:sz w:val="20"/>
                <w:szCs w:val="20"/>
              </w:rPr>
            </w:pPr>
            <w:r>
              <w:rPr>
                <w:rFonts w:asciiTheme="minorHAnsi" w:hAnsiTheme="minorHAnsi" w:cstheme="minorHAnsi"/>
                <w:i/>
                <w:sz w:val="20"/>
                <w:szCs w:val="20"/>
              </w:rPr>
              <w:t>A</w:t>
            </w:r>
            <w:r w:rsidR="00267D72" w:rsidRPr="00004064">
              <w:rPr>
                <w:rFonts w:asciiTheme="minorHAnsi" w:hAnsiTheme="minorHAnsi" w:cstheme="minorHAnsi"/>
                <w:i/>
                <w:sz w:val="20"/>
                <w:szCs w:val="20"/>
              </w:rPr>
              <w:t>i sensi dell’art. 216, comma 12, del D. Lgs. n. 50/2016, fino all’adozione della disciplina in materia di iscrizione all’Albo di cui all’art. 78, la Commissione continua ad essere nominata dall’organo della Stazione Appaltante competente ad effettuare la scelta del soggetto affidatario del contratto.</w:t>
            </w:r>
          </w:p>
        </w:tc>
      </w:tr>
      <w:tr w:rsidR="00267D72" w:rsidRPr="00AB1C7E" w14:paraId="339C46ED" w14:textId="77777777" w:rsidTr="00953A3B">
        <w:trPr>
          <w:trHeight w:val="306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844343" w14:textId="77777777" w:rsidR="00267D72" w:rsidRPr="009A7F68"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lastRenderedPageBreak/>
              <w:t xml:space="preserve">In caso di aggiudicazione con il criterio dell’offerta economicamente più vantaggiosa </w:t>
            </w:r>
            <w:proofErr w:type="gramStart"/>
            <w:r w:rsidRPr="00AB1C7E">
              <w:rPr>
                <w:rFonts w:asciiTheme="minorHAnsi" w:hAnsiTheme="minorHAnsi" w:cstheme="minorHAnsi"/>
                <w:sz w:val="20"/>
                <w:szCs w:val="20"/>
              </w:rPr>
              <w:t xml:space="preserve">la </w:t>
            </w:r>
            <w:r w:rsidRPr="0043211C">
              <w:rPr>
                <w:rFonts w:asciiTheme="minorHAnsi" w:hAnsiTheme="minorHAnsi" w:cstheme="minorHAnsi"/>
                <w:sz w:val="20"/>
                <w:szCs w:val="20"/>
              </w:rPr>
              <w:t>Stazione Appaltante al fine di assicurare l'effettiva individuazione del miglior rapporto qualità/prezzo,</w:t>
            </w:r>
            <w:proofErr w:type="gramEnd"/>
            <w:r w:rsidRPr="0043211C">
              <w:rPr>
                <w:rFonts w:asciiTheme="minorHAnsi" w:hAnsiTheme="minorHAnsi" w:cstheme="minorHAnsi"/>
                <w:sz w:val="20"/>
                <w:szCs w:val="20"/>
              </w:rPr>
              <w:t xml:space="preserve"> ha valorizzato gli elementi qualitativi dell'offerta e ha individuato criteri tali da garantire un confronto concorrenziale effettivo sui profili tecnici e a tal fine ha stabilito un tetto massimo per il punteggio economico entro il limite del 30 per cento</w:t>
            </w:r>
            <w:r w:rsidRPr="00AB1C7E">
              <w:rPr>
                <w:rFonts w:asciiTheme="minorHAnsi" w:hAnsiTheme="minorHAnsi" w:cstheme="minorHAnsi"/>
                <w:sz w:val="20"/>
                <w:szCs w:val="20"/>
              </w:rPr>
              <w:t>?</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150276"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0C2749" w14:textId="77777777" w:rsidR="00267D72" w:rsidRPr="00AB1C7E" w:rsidRDefault="00267D72" w:rsidP="00563AB8">
            <w:pPr>
              <w:pStyle w:val="Paragrafoelenco1"/>
              <w:spacing w:before="120" w:after="120"/>
              <w:jc w:val="both"/>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4BDAC3" w14:textId="77777777" w:rsidR="00267D72" w:rsidRPr="00AB1C7E" w:rsidRDefault="00267D72" w:rsidP="0054413A">
            <w:pPr>
              <w:rPr>
                <w:rFonts w:asciiTheme="minorHAnsi" w:hAnsiTheme="minorHAnsi" w:cstheme="minorHAnsi"/>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F142A01" w14:textId="77777777" w:rsidR="00267D72" w:rsidRPr="00AB1C7E" w:rsidRDefault="00267D72" w:rsidP="000A1C22">
            <w:pPr>
              <w:pStyle w:val="Paragrafoelenco1"/>
              <w:spacing w:before="120" w:after="120"/>
              <w:ind w:left="0"/>
              <w:jc w:val="both"/>
              <w:rPr>
                <w:rFonts w:asciiTheme="minorHAnsi" w:hAnsiTheme="minorHAnsi" w:cstheme="minorHAnsi"/>
                <w:sz w:val="20"/>
                <w:szCs w:val="20"/>
              </w:rPr>
            </w:pPr>
          </w:p>
        </w:tc>
      </w:tr>
      <w:tr w:rsidR="00267D72" w:rsidRPr="00AB1C7E" w14:paraId="4AFF090E" w14:textId="77777777" w:rsidTr="00953A3B">
        <w:trPr>
          <w:trHeight w:val="113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D59AE6B" w14:textId="77777777" w:rsidR="00267D72" w:rsidRPr="00AB1C7E" w:rsidRDefault="00054EA8" w:rsidP="00EE1895">
            <w:pPr>
              <w:pStyle w:val="Paragrafoelenco1"/>
              <w:numPr>
                <w:ilvl w:val="0"/>
                <w:numId w:val="1"/>
              </w:numPr>
              <w:spacing w:before="120" w:after="120" w:line="276" w:lineRule="auto"/>
              <w:jc w:val="both"/>
              <w:rPr>
                <w:rFonts w:asciiTheme="minorHAnsi" w:hAnsiTheme="minorHAnsi" w:cstheme="minorHAnsi"/>
                <w:sz w:val="20"/>
                <w:szCs w:val="20"/>
              </w:rPr>
            </w:pPr>
            <w:r>
              <w:rPr>
                <w:rFonts w:asciiTheme="minorHAnsi" w:hAnsiTheme="minorHAnsi" w:cstheme="minorHAnsi"/>
                <w:sz w:val="20"/>
                <w:szCs w:val="20"/>
              </w:rPr>
              <w:t xml:space="preserve">In caso sia stato utilizzato il criterio del minor prezzo, la fattispecie rientra nelle ipotesi previste dal </w:t>
            </w:r>
            <w:proofErr w:type="spellStart"/>
            <w:r>
              <w:rPr>
                <w:rFonts w:asciiTheme="minorHAnsi" w:hAnsiTheme="minorHAnsi" w:cstheme="minorHAnsi"/>
                <w:sz w:val="20"/>
                <w:szCs w:val="20"/>
              </w:rPr>
              <w:t>D.Lgs.</w:t>
            </w:r>
            <w:proofErr w:type="spellEnd"/>
            <w:r>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84FAD0"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C96E364" w14:textId="77777777" w:rsidR="00267D72" w:rsidRPr="00AB1C7E" w:rsidRDefault="00267D72" w:rsidP="0054413A">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39E4767"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25E640"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6B3AE9EF" w14:textId="77777777" w:rsidTr="00953A3B">
        <w:trPr>
          <w:trHeight w:val="1191"/>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50B35D4"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Le offerte sono state presentate entro i termini previsti nell’invito a presentare offerta?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A1CD465" w14:textId="77777777" w:rsidR="00267D72" w:rsidRPr="00AB1C7E" w:rsidRDefault="00267D72" w:rsidP="00EC1A07">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F0CDA05"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Bando</w:t>
            </w:r>
          </w:p>
          <w:p w14:paraId="7B14B58C"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485C3DA"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AB7761B"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446F8C62" w14:textId="77777777" w:rsidTr="00953A3B">
        <w:trPr>
          <w:trHeight w:val="130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2D670A"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 criteri utilizzati per la selezione degli operatori corrispondono a quelli previsti nella documentazione di gara?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ED6D628" w14:textId="77777777" w:rsidR="00267D72" w:rsidRPr="00AB1C7E" w:rsidRDefault="00267D72" w:rsidP="0054413A">
            <w:pPr>
              <w:jc w:val="cente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2E2891B"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Bando</w:t>
            </w:r>
          </w:p>
          <w:p w14:paraId="57B2C313"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Verbali commissione</w:t>
            </w:r>
          </w:p>
          <w:p w14:paraId="7FF289D0"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Capitolato</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9DEF92"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FC6305" w14:textId="77777777" w:rsidR="00267D72" w:rsidRPr="00AB1C7E" w:rsidRDefault="00267D72" w:rsidP="0054413A">
            <w:pPr>
              <w:jc w:val="center"/>
              <w:rPr>
                <w:rFonts w:asciiTheme="minorHAnsi" w:hAnsiTheme="minorHAnsi" w:cstheme="minorHAnsi"/>
                <w:b/>
                <w:bCs/>
                <w:sz w:val="20"/>
                <w:szCs w:val="20"/>
              </w:rPr>
            </w:pPr>
          </w:p>
        </w:tc>
      </w:tr>
      <w:tr w:rsidR="00267D72" w:rsidRPr="00AB1C7E" w14:paraId="547742D3" w14:textId="77777777" w:rsidTr="0083618B">
        <w:trPr>
          <w:trHeight w:val="57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697614"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Sono state aperte in seduta pubblica* alla data specificata dalla Stazione Appaltante nella documentazione di gara e/o in una successiva comunicazione le buste contenenti:</w:t>
            </w:r>
          </w:p>
          <w:p w14:paraId="16E39504" w14:textId="77777777" w:rsidR="00267D72" w:rsidRPr="00AB1C7E" w:rsidRDefault="00267D72" w:rsidP="002674CC">
            <w:pPr>
              <w:pStyle w:val="Paragrafoelenco1"/>
              <w:numPr>
                <w:ilvl w:val="0"/>
                <w:numId w:val="12"/>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lastRenderedPageBreak/>
              <w:t>la documentazione amministrativa dei concorrenti?</w:t>
            </w:r>
          </w:p>
          <w:p w14:paraId="33D87353" w14:textId="77777777" w:rsidR="00267D72" w:rsidRPr="00AB1C7E" w:rsidRDefault="00267D72" w:rsidP="002674CC">
            <w:pPr>
              <w:pStyle w:val="Paragrafoelenco1"/>
              <w:numPr>
                <w:ilvl w:val="0"/>
                <w:numId w:val="12"/>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l’offerta tecnica (se prevista)?</w:t>
            </w:r>
          </w:p>
          <w:p w14:paraId="11CD0BD3" w14:textId="77777777" w:rsidR="00267D72" w:rsidRPr="00AB1C7E" w:rsidRDefault="00267D72" w:rsidP="002674CC">
            <w:pPr>
              <w:pStyle w:val="Paragrafoelenco1"/>
              <w:numPr>
                <w:ilvl w:val="0"/>
                <w:numId w:val="12"/>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l’offerta economica?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24B5ADF"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FE9DFDA"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p w14:paraId="6A3D6292"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Disciplinare 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FFB6A9B"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B35A7E7" w14:textId="77777777" w:rsidR="00267D72" w:rsidRPr="00004064" w:rsidRDefault="00267D72" w:rsidP="00527FDB">
            <w:pPr>
              <w:rPr>
                <w:rFonts w:asciiTheme="minorHAnsi" w:hAnsiTheme="minorHAnsi" w:cstheme="minorHAnsi"/>
                <w:bCs/>
                <w:i/>
                <w:sz w:val="20"/>
                <w:szCs w:val="20"/>
              </w:rPr>
            </w:pPr>
            <w:r w:rsidRPr="00004064">
              <w:rPr>
                <w:rFonts w:asciiTheme="minorHAnsi" w:hAnsiTheme="minorHAnsi" w:cstheme="minorHAnsi"/>
                <w:bCs/>
                <w:i/>
                <w:sz w:val="20"/>
                <w:szCs w:val="20"/>
              </w:rPr>
              <w:t>*per le attività che la Commissione compie in seduta pubblica si fa riferimento alle Linee Guida ANAC n. 5</w:t>
            </w:r>
          </w:p>
        </w:tc>
      </w:tr>
      <w:tr w:rsidR="00B474A4" w:rsidRPr="00AB1C7E" w14:paraId="742D329C" w14:textId="77777777" w:rsidTr="0083618B">
        <w:trPr>
          <w:trHeight w:val="57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E4B86DE" w14:textId="77777777" w:rsidR="00B474A4" w:rsidRPr="00AB1C7E" w:rsidRDefault="00B474A4" w:rsidP="00EE1895">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La valutazione della congruità delle offerte è stata svolta in conformità all’art. 97 del d.lgs. n.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81FA45" w14:textId="77777777" w:rsidR="00B474A4" w:rsidRPr="00AB1C7E" w:rsidRDefault="00B474A4"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F6AFA37" w14:textId="77777777" w:rsidR="00B474A4" w:rsidRPr="00AB1C7E" w:rsidRDefault="00B474A4" w:rsidP="009A7571">
            <w:pPr>
              <w:pStyle w:val="Paragrafoelenco1"/>
              <w:ind w:left="159"/>
              <w:rPr>
                <w:rFonts w:asciiTheme="minorHAnsi" w:hAnsiTheme="minorHAnsi" w:cstheme="minorHAnsi"/>
                <w:sz w:val="20"/>
                <w:szCs w:val="20"/>
              </w:rPr>
            </w:pP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60DDEF5" w14:textId="77777777" w:rsidR="00B474A4" w:rsidRPr="00AB1C7E" w:rsidRDefault="00B474A4"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D2F21B6" w14:textId="77777777" w:rsidR="00B474A4" w:rsidRPr="00004064" w:rsidRDefault="00B474A4" w:rsidP="00527FDB">
            <w:pPr>
              <w:rPr>
                <w:rFonts w:asciiTheme="minorHAnsi" w:hAnsiTheme="minorHAnsi" w:cstheme="minorHAnsi"/>
                <w:bCs/>
                <w:i/>
                <w:sz w:val="20"/>
                <w:szCs w:val="20"/>
              </w:rPr>
            </w:pPr>
          </w:p>
        </w:tc>
      </w:tr>
      <w:tr w:rsidR="00267D72" w:rsidRPr="00AB1C7E" w14:paraId="3A1CA791" w14:textId="77777777" w:rsidTr="0083618B">
        <w:trPr>
          <w:trHeight w:val="572"/>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4FB6F4E"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L’aggiudicazione è avvenuta sulla base dei criteri/</w:t>
            </w:r>
            <w:proofErr w:type="spellStart"/>
            <w:r w:rsidRPr="00AB1C7E">
              <w:rPr>
                <w:rFonts w:asciiTheme="minorHAnsi" w:hAnsiTheme="minorHAnsi" w:cstheme="minorHAnsi"/>
                <w:sz w:val="20"/>
                <w:szCs w:val="20"/>
              </w:rPr>
              <w:t>subcriteri</w:t>
            </w:r>
            <w:proofErr w:type="spellEnd"/>
            <w:r w:rsidRPr="00AB1C7E">
              <w:rPr>
                <w:rFonts w:asciiTheme="minorHAnsi" w:hAnsiTheme="minorHAnsi" w:cstheme="minorHAnsi"/>
                <w:sz w:val="20"/>
                <w:szCs w:val="20"/>
              </w:rPr>
              <w:t>:</w:t>
            </w:r>
          </w:p>
          <w:p w14:paraId="3CE9B4B7" w14:textId="77777777" w:rsidR="00267D72" w:rsidRPr="00AB1C7E" w:rsidRDefault="00267D72" w:rsidP="002674CC">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AB1C7E">
              <w:rPr>
                <w:rFonts w:asciiTheme="minorHAnsi" w:hAnsiTheme="minorHAnsi" w:cstheme="minorHAnsi"/>
                <w:sz w:val="20"/>
                <w:szCs w:val="20"/>
              </w:rPr>
              <w:t>indicati nella documentazione di gara?</w:t>
            </w:r>
          </w:p>
          <w:p w14:paraId="6CC69EDA" w14:textId="77777777" w:rsidR="00267D72" w:rsidRPr="00C94585" w:rsidRDefault="00267D72" w:rsidP="002674CC">
            <w:pPr>
              <w:pStyle w:val="Paragrafoelenco1"/>
              <w:numPr>
                <w:ilvl w:val="0"/>
                <w:numId w:val="13"/>
              </w:numPr>
              <w:spacing w:before="120" w:line="276" w:lineRule="auto"/>
              <w:ind w:left="743" w:hanging="425"/>
              <w:jc w:val="both"/>
              <w:rPr>
                <w:rFonts w:asciiTheme="minorHAnsi" w:hAnsiTheme="minorHAnsi" w:cstheme="minorHAnsi"/>
                <w:sz w:val="20"/>
                <w:szCs w:val="20"/>
              </w:rPr>
            </w:pPr>
            <w:r w:rsidRPr="00AB1C7E">
              <w:rPr>
                <w:rFonts w:asciiTheme="minorHAnsi" w:hAnsiTheme="minorHAnsi" w:cstheme="minorHAnsi"/>
                <w:sz w:val="20"/>
                <w:szCs w:val="20"/>
              </w:rPr>
              <w:t>diversi da quelli utilizzati in fase di selezione?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AC91140" w14:textId="77777777" w:rsidR="00267D72" w:rsidRPr="00AB1C7E" w:rsidRDefault="00267D72" w:rsidP="007E5259">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EA78810"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Lettera di invito;</w:t>
            </w:r>
          </w:p>
          <w:p w14:paraId="6C1B900C"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Capitolato;</w:t>
            </w:r>
          </w:p>
          <w:p w14:paraId="78720C13"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462E83"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17329F1" w14:textId="77777777" w:rsidR="00267D72" w:rsidRPr="00AB1C7E" w:rsidRDefault="00267D72" w:rsidP="0054413A">
            <w:pPr>
              <w:rPr>
                <w:rFonts w:asciiTheme="minorHAnsi" w:hAnsiTheme="minorHAnsi" w:cstheme="minorHAnsi"/>
                <w:b/>
                <w:bCs/>
                <w:sz w:val="20"/>
                <w:szCs w:val="20"/>
              </w:rPr>
            </w:pPr>
            <w:r w:rsidRPr="00AB1C7E">
              <w:rPr>
                <w:rFonts w:asciiTheme="minorHAnsi" w:hAnsiTheme="minorHAnsi" w:cstheme="minorHAnsi"/>
                <w:i/>
                <w:sz w:val="20"/>
                <w:szCs w:val="20"/>
              </w:rPr>
              <w:t>NB: Se negativo, descrivere i criteri utilizzati per l’aggiudicazione.</w:t>
            </w:r>
          </w:p>
        </w:tc>
      </w:tr>
      <w:tr w:rsidR="00267D72" w:rsidRPr="00AB1C7E" w14:paraId="25221FD5" w14:textId="77777777" w:rsidTr="0083618B">
        <w:trPr>
          <w:trHeight w:val="815"/>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855352C"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 xml:space="preserve">Il verbale </w:t>
            </w:r>
            <w:r>
              <w:rPr>
                <w:rFonts w:asciiTheme="minorHAnsi" w:hAnsiTheme="minorHAnsi" w:cstheme="minorHAnsi"/>
                <w:sz w:val="20"/>
                <w:szCs w:val="20"/>
              </w:rPr>
              <w:t>degli esiti di gara</w:t>
            </w:r>
            <w:r w:rsidRPr="00AB1C7E">
              <w:rPr>
                <w:rFonts w:asciiTheme="minorHAnsi" w:hAnsiTheme="minorHAnsi" w:cstheme="minorHAnsi"/>
                <w:sz w:val="20"/>
                <w:szCs w:val="20"/>
              </w:rPr>
              <w:t xml:space="preserve"> contiene almeno le seguenti informazioni:</w:t>
            </w:r>
          </w:p>
          <w:p w14:paraId="77E5D9EF"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il nome e l'indirizzo dell’amministrazione beneficiaria, l'oggetto e il valore del contratto;</w:t>
            </w:r>
          </w:p>
          <w:p w14:paraId="47E696E4"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nomi dei candidati o degli offerenti presi in considerazione e i motivi della scelta;</w:t>
            </w:r>
          </w:p>
          <w:p w14:paraId="74378669"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 nomi dei candidati o degli offerenti esclusi e i motivi dell’'esclusione;</w:t>
            </w:r>
          </w:p>
          <w:p w14:paraId="112C6554"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 motivi dell’esclusione delle offerte giudicate anormalmente basse;</w:t>
            </w:r>
          </w:p>
          <w:p w14:paraId="6F3812AB" w14:textId="77777777" w:rsidR="00267D72" w:rsidRPr="00AB1C7E"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lastRenderedPageBreak/>
              <w:t>il nome dell’'aggiudicatario e la giustificazione della scelta della sua offerta nonché, se è nota, la parte dell'appalto che l'aggiudicatario intende subappaltare a terzi;</w:t>
            </w:r>
          </w:p>
          <w:p w14:paraId="55310B14" w14:textId="77777777" w:rsidR="00267D72"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se del caso, le ragioni per le quali l'amministrazione ha rinunci</w:t>
            </w:r>
            <w:r>
              <w:rPr>
                <w:rFonts w:asciiTheme="minorHAnsi" w:hAnsiTheme="minorHAnsi" w:cstheme="minorHAnsi"/>
                <w:sz w:val="20"/>
                <w:szCs w:val="20"/>
              </w:rPr>
              <w:t xml:space="preserve">ato ad aggiudicare un contratto; </w:t>
            </w:r>
          </w:p>
          <w:p w14:paraId="5582D9E7" w14:textId="77777777" w:rsidR="00267D72" w:rsidRPr="002674CC" w:rsidRDefault="00267D72" w:rsidP="002674CC">
            <w:pPr>
              <w:pStyle w:val="Paragrafoelenco1"/>
              <w:numPr>
                <w:ilvl w:val="0"/>
                <w:numId w:val="3"/>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 xml:space="preserve">l’importo di aggiudicazione. </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tcPr>
          <w:p w14:paraId="17EE5261" w14:textId="77777777" w:rsidR="00267D72" w:rsidRPr="009B3462" w:rsidRDefault="00267D72" w:rsidP="009B3462">
            <w:pPr>
              <w:rPr>
                <w:rFonts w:asciiTheme="minorHAnsi" w:hAnsiTheme="minorHAnsi" w:cstheme="minorHAnsi"/>
                <w:sz w:val="20"/>
                <w:szCs w:val="20"/>
              </w:rPr>
            </w:pPr>
            <w:r>
              <w:rPr>
                <w:rFonts w:asciiTheme="minorHAnsi" w:hAnsiTheme="minorHAnsi" w:cstheme="minorHAnsi"/>
                <w:sz w:val="20"/>
                <w:szCs w:val="20"/>
              </w:rPr>
              <w:lastRenderedPageBreak/>
              <w:t xml:space="preserve"> </w:t>
            </w: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CDB1673" w14:textId="77777777" w:rsidR="00267D72" w:rsidRPr="00AB1C7E" w:rsidRDefault="00267D72" w:rsidP="00A80DB8">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Verbale di </w:t>
            </w:r>
            <w:r>
              <w:rPr>
                <w:rFonts w:asciiTheme="minorHAnsi" w:hAnsiTheme="minorHAnsi" w:cstheme="minorHAnsi"/>
                <w:sz w:val="20"/>
                <w:szCs w:val="20"/>
              </w:rPr>
              <w:t>gara</w:t>
            </w:r>
            <w:r w:rsidRPr="00AB1C7E">
              <w:rPr>
                <w:rFonts w:asciiTheme="minorHAnsi" w:hAnsiTheme="minorHAnsi" w:cstheme="minorHAnsi"/>
                <w:sz w:val="20"/>
                <w:szCs w:val="20"/>
              </w:rPr>
              <w:t>.</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BF910FE"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D0DCA99" w14:textId="77777777" w:rsidR="00267D72" w:rsidRPr="00AB1C7E" w:rsidRDefault="00267D72" w:rsidP="0054413A">
            <w:pPr>
              <w:rPr>
                <w:rFonts w:asciiTheme="minorHAnsi" w:hAnsiTheme="minorHAnsi" w:cstheme="minorHAnsi"/>
                <w:i/>
                <w:sz w:val="20"/>
                <w:szCs w:val="20"/>
              </w:rPr>
            </w:pPr>
          </w:p>
        </w:tc>
      </w:tr>
      <w:tr w:rsidR="00267D72" w:rsidRPr="00AB1C7E" w14:paraId="188CC006" w14:textId="77777777" w:rsidTr="0083618B">
        <w:trPr>
          <w:trHeight w:val="1086"/>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92BF676"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Nel caso di aggiudicazione secondo il criterio dell’offerta economicamente più vantaggiosa, l’attribuzione del punteggio stabilito per ciascun criterio risulta motivata?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169ADCAB"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E1050C1"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2F6E4A3"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4AE29F7" w14:textId="77777777" w:rsidR="00267D72" w:rsidRPr="00AB1C7E" w:rsidRDefault="00267D72" w:rsidP="0054413A">
            <w:pPr>
              <w:rPr>
                <w:rFonts w:asciiTheme="minorHAnsi" w:hAnsiTheme="minorHAnsi" w:cstheme="minorHAnsi"/>
                <w:i/>
                <w:sz w:val="20"/>
                <w:szCs w:val="20"/>
              </w:rPr>
            </w:pPr>
          </w:p>
        </w:tc>
      </w:tr>
      <w:tr w:rsidR="00267D72" w:rsidRPr="00AB1C7E" w14:paraId="46F4DDCD" w14:textId="77777777" w:rsidTr="0083618B">
        <w:trPr>
          <w:trHeight w:val="574"/>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AAF711B" w14:textId="77777777" w:rsidR="00267D72" w:rsidRPr="003741BC" w:rsidRDefault="00267D72" w:rsidP="00EE1895">
            <w:pPr>
              <w:pStyle w:val="Paragrafoelenco1"/>
              <w:numPr>
                <w:ilvl w:val="0"/>
                <w:numId w:val="1"/>
              </w:numPr>
              <w:spacing w:before="120" w:after="120" w:line="276" w:lineRule="auto"/>
              <w:jc w:val="both"/>
              <w:rPr>
                <w:rFonts w:asciiTheme="minorHAnsi" w:hAnsiTheme="minorHAnsi" w:cstheme="minorHAnsi"/>
                <w:sz w:val="20"/>
                <w:szCs w:val="20"/>
              </w:rPr>
            </w:pPr>
            <w:r w:rsidRPr="003741BC">
              <w:rPr>
                <w:rFonts w:asciiTheme="minorHAnsi" w:hAnsiTheme="minorHAnsi" w:cstheme="minorHAnsi"/>
                <w:sz w:val="20"/>
                <w:szCs w:val="20"/>
              </w:rPr>
              <w:t>Nel caso in cui siano state rilevate offerte anormalmente basse:</w:t>
            </w:r>
          </w:p>
          <w:p w14:paraId="67930B39" w14:textId="77777777" w:rsidR="00267D72" w:rsidRPr="003741BC" w:rsidRDefault="00267D72" w:rsidP="002674CC">
            <w:pPr>
              <w:pStyle w:val="Paragrafoelenco1"/>
              <w:numPr>
                <w:ilvl w:val="0"/>
                <w:numId w:val="14"/>
              </w:numPr>
              <w:spacing w:before="120" w:after="120" w:line="276" w:lineRule="auto"/>
              <w:jc w:val="both"/>
              <w:rPr>
                <w:rFonts w:asciiTheme="minorHAnsi" w:hAnsiTheme="minorHAnsi" w:cstheme="minorHAnsi"/>
                <w:sz w:val="20"/>
                <w:szCs w:val="20"/>
              </w:rPr>
            </w:pPr>
            <w:r w:rsidRPr="003741BC">
              <w:rPr>
                <w:rFonts w:asciiTheme="minorHAnsi" w:hAnsiTheme="minorHAnsi" w:cstheme="minorHAnsi"/>
                <w:sz w:val="20"/>
                <w:szCs w:val="20"/>
              </w:rPr>
              <w:t>sono state richieste giustificazioni?</w:t>
            </w:r>
          </w:p>
          <w:p w14:paraId="0F227190" w14:textId="77777777" w:rsidR="00267D72" w:rsidRPr="003741BC" w:rsidRDefault="00267D72" w:rsidP="002674CC">
            <w:pPr>
              <w:pStyle w:val="Paragrafoelenco1"/>
              <w:numPr>
                <w:ilvl w:val="0"/>
                <w:numId w:val="14"/>
              </w:numPr>
              <w:spacing w:before="120" w:after="120" w:line="276" w:lineRule="auto"/>
              <w:jc w:val="both"/>
              <w:rPr>
                <w:rFonts w:asciiTheme="minorHAnsi" w:hAnsiTheme="minorHAnsi" w:cstheme="minorHAnsi"/>
                <w:sz w:val="20"/>
                <w:szCs w:val="20"/>
              </w:rPr>
            </w:pPr>
            <w:r w:rsidRPr="003741BC">
              <w:rPr>
                <w:rFonts w:asciiTheme="minorHAnsi" w:hAnsiTheme="minorHAnsi" w:cstheme="minorHAnsi"/>
                <w:sz w:val="20"/>
                <w:szCs w:val="20"/>
              </w:rPr>
              <w:t>la decisione di ammettere o escludere tali offerte è stata adeguatamente motivata?</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6B4B59" w14:textId="77777777" w:rsidR="00267D72" w:rsidRPr="003741BC"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2A366B5A"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p w14:paraId="04C12341" w14:textId="77777777" w:rsidR="00267D72" w:rsidRPr="00AB1C7E" w:rsidRDefault="00267D72" w:rsidP="00CF768C">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Verbale </w:t>
            </w:r>
            <w:r>
              <w:rPr>
                <w:rFonts w:asciiTheme="minorHAnsi" w:hAnsiTheme="minorHAnsi" w:cstheme="minorHAnsi"/>
                <w:sz w:val="20"/>
                <w:szCs w:val="20"/>
              </w:rPr>
              <w:t>di 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00723A00"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927CD1F" w14:textId="77777777" w:rsidR="00267D72" w:rsidRPr="00AB1C7E" w:rsidRDefault="00267D72" w:rsidP="0054413A">
            <w:pPr>
              <w:rPr>
                <w:rFonts w:asciiTheme="minorHAnsi" w:hAnsiTheme="minorHAnsi" w:cstheme="minorHAnsi"/>
                <w:i/>
                <w:sz w:val="20"/>
                <w:szCs w:val="20"/>
              </w:rPr>
            </w:pPr>
          </w:p>
        </w:tc>
      </w:tr>
      <w:tr w:rsidR="00267D72" w:rsidRPr="00AB1C7E" w14:paraId="208158A1" w14:textId="77777777" w:rsidTr="0083618B">
        <w:trPr>
          <w:trHeight w:val="975"/>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AEDE7FA"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sidRPr="00AB1C7E">
              <w:rPr>
                <w:rFonts w:asciiTheme="minorHAnsi" w:hAnsiTheme="minorHAnsi" w:cstheme="minorHAnsi"/>
                <w:sz w:val="20"/>
                <w:szCs w:val="20"/>
              </w:rPr>
              <w:t>I totali dei punteggi attribuiti in base ai diversi criteri di aggiudicazione sono corretti?</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3E927E1"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2ABB636" w14:textId="77777777" w:rsidR="00267D72" w:rsidRPr="00AB1C7E" w:rsidRDefault="00267D72" w:rsidP="008D1704">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Verbale commissione.</w:t>
            </w:r>
          </w:p>
          <w:p w14:paraId="0079F66F" w14:textId="77777777" w:rsidR="00267D72" w:rsidRPr="00AB1C7E" w:rsidRDefault="00267D72" w:rsidP="00CF768C">
            <w:pPr>
              <w:pStyle w:val="Paragrafoelenco1"/>
              <w:numPr>
                <w:ilvl w:val="0"/>
                <w:numId w:val="6"/>
              </w:numPr>
              <w:ind w:left="159" w:hanging="159"/>
              <w:rPr>
                <w:rFonts w:asciiTheme="minorHAnsi" w:hAnsiTheme="minorHAnsi" w:cstheme="minorHAnsi"/>
                <w:sz w:val="20"/>
                <w:szCs w:val="20"/>
              </w:rPr>
            </w:pPr>
            <w:r w:rsidRPr="00AB1C7E">
              <w:rPr>
                <w:rFonts w:asciiTheme="minorHAnsi" w:hAnsiTheme="minorHAnsi" w:cstheme="minorHAnsi"/>
                <w:sz w:val="20"/>
                <w:szCs w:val="20"/>
              </w:rPr>
              <w:t xml:space="preserve">Verbale di </w:t>
            </w:r>
            <w:r>
              <w:rPr>
                <w:rFonts w:asciiTheme="minorHAnsi" w:hAnsiTheme="minorHAnsi" w:cstheme="minorHAnsi"/>
                <w:sz w:val="20"/>
                <w:szCs w:val="20"/>
              </w:rPr>
              <w:t>gara</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1EFB85E" w14:textId="77777777" w:rsidR="00267D72" w:rsidRPr="00AB1C7E" w:rsidRDefault="00267D72" w:rsidP="002674CC">
            <w:pP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480E942" w14:textId="77777777" w:rsidR="00267D72" w:rsidRPr="00AB1C7E" w:rsidRDefault="00267D72" w:rsidP="00EB19F4">
            <w:pPr>
              <w:rPr>
                <w:rFonts w:asciiTheme="minorHAnsi" w:hAnsiTheme="minorHAnsi" w:cstheme="minorHAnsi"/>
                <w:i/>
                <w:sz w:val="20"/>
                <w:szCs w:val="20"/>
              </w:rPr>
            </w:pPr>
          </w:p>
        </w:tc>
      </w:tr>
      <w:tr w:rsidR="00267D72" w:rsidRPr="00AB1C7E" w14:paraId="2552EBE6" w14:textId="77777777" w:rsidTr="0083618B">
        <w:trPr>
          <w:trHeight w:val="626"/>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337EA01" w14:textId="77777777" w:rsidR="00267D72" w:rsidRPr="00AB1C7E" w:rsidRDefault="00267D72" w:rsidP="00EE1895">
            <w:pPr>
              <w:pStyle w:val="Paragrafoelenco1"/>
              <w:numPr>
                <w:ilvl w:val="0"/>
                <w:numId w:val="1"/>
              </w:numPr>
              <w:spacing w:before="120" w:line="276" w:lineRule="auto"/>
              <w:jc w:val="both"/>
              <w:rPr>
                <w:rFonts w:asciiTheme="minorHAnsi" w:hAnsiTheme="minorHAnsi" w:cstheme="minorHAnsi"/>
                <w:sz w:val="20"/>
                <w:szCs w:val="20"/>
              </w:rPr>
            </w:pPr>
            <w:r>
              <w:rPr>
                <w:rFonts w:asciiTheme="minorHAnsi" w:hAnsiTheme="minorHAnsi" w:cstheme="minorHAnsi"/>
                <w:sz w:val="20"/>
                <w:szCs w:val="20"/>
              </w:rPr>
              <w:t>È presente la proposta di aggiudicazione</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3192D5C" w14:textId="77777777" w:rsidR="00267D72" w:rsidRPr="00AB1C7E" w:rsidRDefault="00267D72" w:rsidP="0054413A">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37EE0C26" w14:textId="77777777" w:rsidR="00267D72" w:rsidRPr="00AB1C7E" w:rsidRDefault="00267D72" w:rsidP="00C71AC3">
            <w:pPr>
              <w:pStyle w:val="Paragrafoelenco1"/>
              <w:ind w:left="0"/>
              <w:rPr>
                <w:rFonts w:asciiTheme="minorHAnsi" w:hAnsiTheme="minorHAnsi" w:cstheme="minorHAnsi"/>
                <w:sz w:val="20"/>
                <w:szCs w:val="20"/>
              </w:rPr>
            </w:pPr>
            <w:r>
              <w:rPr>
                <w:rFonts w:asciiTheme="minorHAnsi" w:hAnsiTheme="minorHAnsi" w:cstheme="minorHAnsi"/>
                <w:sz w:val="20"/>
                <w:szCs w:val="20"/>
              </w:rPr>
              <w:t xml:space="preserve">Proposta di aggiudicazione </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254CC98" w14:textId="77777777" w:rsidR="00267D72" w:rsidRPr="00AB1C7E" w:rsidRDefault="00267D7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A39C54D" w14:textId="77777777" w:rsidR="00267D72" w:rsidRPr="00AB1C7E" w:rsidRDefault="00267D72" w:rsidP="0054413A">
            <w:pPr>
              <w:rPr>
                <w:rFonts w:asciiTheme="minorHAnsi" w:hAnsiTheme="minorHAnsi" w:cstheme="minorHAnsi"/>
                <w:i/>
                <w:sz w:val="20"/>
                <w:szCs w:val="20"/>
              </w:rPr>
            </w:pPr>
          </w:p>
        </w:tc>
      </w:tr>
      <w:tr w:rsidR="00E27C52" w:rsidRPr="00AB1C7E" w14:paraId="77D93E95" w14:textId="77777777" w:rsidTr="0083618B">
        <w:trPr>
          <w:trHeight w:val="626"/>
          <w:jc w:val="center"/>
        </w:trPr>
        <w:tc>
          <w:tcPr>
            <w:tcW w:w="453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7930909F" w14:textId="77777777" w:rsidR="00E27C52" w:rsidRPr="00B90494" w:rsidRDefault="00E27C52" w:rsidP="00EE1895">
            <w:pPr>
              <w:pStyle w:val="Paragrafoelenco1"/>
              <w:numPr>
                <w:ilvl w:val="0"/>
                <w:numId w:val="1"/>
              </w:numPr>
              <w:spacing w:before="120" w:line="276" w:lineRule="auto"/>
              <w:jc w:val="both"/>
              <w:rPr>
                <w:rFonts w:asciiTheme="minorHAnsi" w:hAnsiTheme="minorHAnsi" w:cstheme="minorHAnsi"/>
                <w:sz w:val="20"/>
                <w:szCs w:val="20"/>
              </w:rPr>
            </w:pPr>
            <w:r w:rsidRPr="00B90494">
              <w:rPr>
                <w:rFonts w:asciiTheme="minorHAnsi" w:hAnsiTheme="minorHAnsi" w:cstheme="minorHAnsi"/>
                <w:sz w:val="20"/>
                <w:szCs w:val="20"/>
              </w:rPr>
              <w:lastRenderedPageBreak/>
              <w:t xml:space="preserve">Sono state effettuate le comunicazioni di cui all’art. 76 del </w:t>
            </w:r>
            <w:proofErr w:type="spellStart"/>
            <w:r w:rsidRPr="00B90494">
              <w:rPr>
                <w:rFonts w:asciiTheme="minorHAnsi" w:hAnsiTheme="minorHAnsi" w:cstheme="minorHAnsi"/>
                <w:sz w:val="20"/>
                <w:szCs w:val="20"/>
              </w:rPr>
              <w:t>D.Lgs</w:t>
            </w:r>
            <w:proofErr w:type="spellEnd"/>
            <w:r w:rsidRPr="00B90494">
              <w:rPr>
                <w:rFonts w:asciiTheme="minorHAnsi" w:hAnsiTheme="minorHAnsi" w:cstheme="minorHAnsi"/>
                <w:sz w:val="20"/>
                <w:szCs w:val="20"/>
              </w:rPr>
              <w:t xml:space="preserve"> 50/2016?</w:t>
            </w:r>
          </w:p>
        </w:tc>
        <w:tc>
          <w:tcPr>
            <w:tcW w:w="1701"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7291B32" w14:textId="77777777" w:rsidR="00E27C52" w:rsidRPr="001B4AA8" w:rsidRDefault="00E27C52" w:rsidP="00256477">
            <w:pPr>
              <w:rPr>
                <w:rFonts w:asciiTheme="minorHAnsi" w:hAnsiTheme="minorHAnsi" w:cstheme="minorHAnsi"/>
                <w:sz w:val="20"/>
                <w:szCs w:val="20"/>
              </w:rPr>
            </w:pPr>
          </w:p>
        </w:tc>
        <w:tc>
          <w:tcPr>
            <w:tcW w:w="2126"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5F053BAF" w14:textId="77777777" w:rsidR="00E27C52" w:rsidRPr="001B4AA8" w:rsidRDefault="00E27C52" w:rsidP="00E27C52">
            <w:pPr>
              <w:pStyle w:val="Paragrafoelenco1"/>
              <w:numPr>
                <w:ilvl w:val="0"/>
                <w:numId w:val="6"/>
              </w:numPr>
              <w:ind w:left="159" w:hanging="159"/>
              <w:rPr>
                <w:rFonts w:asciiTheme="minorHAnsi" w:hAnsiTheme="minorHAnsi" w:cstheme="minorHAnsi"/>
                <w:sz w:val="20"/>
                <w:szCs w:val="20"/>
              </w:rPr>
            </w:pPr>
            <w:r>
              <w:rPr>
                <w:rFonts w:asciiTheme="minorHAnsi" w:hAnsiTheme="minorHAnsi" w:cstheme="minorHAnsi"/>
                <w:sz w:val="20"/>
                <w:szCs w:val="20"/>
              </w:rPr>
              <w:t>Le c</w:t>
            </w:r>
            <w:r w:rsidRPr="00165BB7">
              <w:rPr>
                <w:rFonts w:asciiTheme="minorHAnsi" w:hAnsiTheme="minorHAnsi" w:cstheme="minorHAnsi"/>
                <w:sz w:val="20"/>
                <w:szCs w:val="20"/>
              </w:rPr>
              <w:t>omunicazioni sono effettuate esclusivamente con mezzi elettronici conformemente all'</w:t>
            </w:r>
            <w:hyperlink r:id="rId14" w:anchor="052" w:history="1">
              <w:r w:rsidRPr="00165BB7">
                <w:rPr>
                  <w:rFonts w:asciiTheme="minorHAnsi" w:hAnsiTheme="minorHAnsi" w:cstheme="minorHAnsi"/>
                  <w:sz w:val="20"/>
                  <w:szCs w:val="20"/>
                </w:rPr>
                <w:t>articolo 52, commi 1, 2, 3, 5, 6, 8 e 9</w:t>
              </w:r>
            </w:hyperlink>
            <w:r w:rsidRPr="00165BB7">
              <w:rPr>
                <w:rFonts w:asciiTheme="minorHAnsi" w:hAnsiTheme="minorHAnsi" w:cstheme="minorHAnsi"/>
                <w:sz w:val="20"/>
                <w:szCs w:val="20"/>
              </w:rPr>
              <w:t xml:space="preserve"> </w:t>
            </w:r>
            <w:r w:rsidRPr="001B4AA8">
              <w:rPr>
                <w:rFonts w:asciiTheme="minorHAnsi" w:hAnsiTheme="minorHAnsi" w:cstheme="minorHAnsi"/>
                <w:sz w:val="20"/>
                <w:szCs w:val="20"/>
              </w:rPr>
              <w:t xml:space="preserve">del </w:t>
            </w:r>
            <w:proofErr w:type="spellStart"/>
            <w:r w:rsidRPr="001B4AA8">
              <w:rPr>
                <w:rFonts w:asciiTheme="minorHAnsi" w:hAnsiTheme="minorHAnsi" w:cstheme="minorHAnsi"/>
                <w:sz w:val="20"/>
                <w:szCs w:val="20"/>
              </w:rPr>
              <w:t>D.Lgs</w:t>
            </w:r>
            <w:proofErr w:type="spellEnd"/>
            <w:r w:rsidRPr="001B4AA8">
              <w:rPr>
                <w:rFonts w:asciiTheme="minorHAnsi" w:hAnsiTheme="minorHAnsi" w:cstheme="minorHAnsi"/>
                <w:sz w:val="20"/>
                <w:szCs w:val="20"/>
              </w:rPr>
              <w:t xml:space="preserve"> 50/2016</w:t>
            </w:r>
            <w:r w:rsidR="00C32B48">
              <w:rPr>
                <w:rFonts w:asciiTheme="minorHAnsi" w:hAnsiTheme="minorHAnsi" w:cstheme="minorHAnsi"/>
                <w:sz w:val="20"/>
                <w:szCs w:val="20"/>
              </w:rPr>
              <w:t xml:space="preserve"> </w:t>
            </w:r>
            <w:r w:rsidR="00C32B48" w:rsidRPr="0078153B">
              <w:rPr>
                <w:rFonts w:asciiTheme="minorHAnsi" w:hAnsiTheme="minorHAnsi" w:cstheme="minorHAnsi"/>
                <w:sz w:val="20"/>
                <w:szCs w:val="20"/>
              </w:rPr>
              <w:t xml:space="preserve">nonché al </w:t>
            </w:r>
            <w:hyperlink r:id="rId15" w:history="1">
              <w:r w:rsidR="00C32B48" w:rsidRPr="0078153B">
                <w:rPr>
                  <w:rFonts w:asciiTheme="minorHAnsi" w:hAnsiTheme="minorHAnsi" w:cstheme="minorHAnsi"/>
                  <w:sz w:val="20"/>
                  <w:szCs w:val="20"/>
                </w:rPr>
                <w:t>Codice dell’amministrazione digitale di cui al decreto legislativo 7 marzo 2005, n. 82</w:t>
              </w:r>
            </w:hyperlink>
            <w:r w:rsidRPr="00165BB7">
              <w:rPr>
                <w:rFonts w:asciiTheme="minorHAnsi" w:hAnsiTheme="minorHAnsi" w:cstheme="minorHAnsi"/>
                <w:sz w:val="20"/>
                <w:szCs w:val="20"/>
              </w:rPr>
              <w:t>.</w:t>
            </w:r>
          </w:p>
        </w:tc>
        <w:tc>
          <w:tcPr>
            <w:tcW w:w="1854"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66CF7F57" w14:textId="77777777" w:rsidR="00E27C52" w:rsidRPr="00AB1C7E" w:rsidRDefault="00E27C52" w:rsidP="0054413A">
            <w:pPr>
              <w:jc w:val="center"/>
              <w:rPr>
                <w:rFonts w:asciiTheme="minorHAnsi" w:hAnsiTheme="minorHAnsi" w:cstheme="minorHAnsi"/>
                <w:b/>
                <w:bCs/>
                <w:i/>
                <w:iCs/>
                <w:sz w:val="20"/>
                <w:szCs w:val="20"/>
              </w:rPr>
            </w:pPr>
          </w:p>
        </w:tc>
        <w:tc>
          <w:tcPr>
            <w:tcW w:w="3815" w:type="dxa"/>
            <w:tcBorders>
              <w:top w:val="single" w:sz="18" w:space="0" w:color="BFBFBF"/>
              <w:left w:val="single" w:sz="18" w:space="0" w:color="BFBFBF"/>
              <w:bottom w:val="single" w:sz="18" w:space="0" w:color="BFBFBF"/>
              <w:right w:val="single" w:sz="18" w:space="0" w:color="BFBFBF"/>
            </w:tcBorders>
            <w:shd w:val="clear" w:color="auto" w:fill="auto"/>
            <w:vAlign w:val="center"/>
          </w:tcPr>
          <w:p w14:paraId="4155137B" w14:textId="77777777" w:rsidR="00E27C52" w:rsidRPr="00AB1C7E" w:rsidRDefault="00E27C52" w:rsidP="0054413A">
            <w:pPr>
              <w:rPr>
                <w:rFonts w:asciiTheme="minorHAnsi" w:hAnsiTheme="minorHAnsi" w:cstheme="minorHAnsi"/>
                <w:i/>
                <w:sz w:val="20"/>
                <w:szCs w:val="20"/>
              </w:rPr>
            </w:pPr>
          </w:p>
        </w:tc>
      </w:tr>
    </w:tbl>
    <w:p w14:paraId="6442BF5B" w14:textId="77777777" w:rsidR="00EC1A07" w:rsidRPr="00AB1C7E" w:rsidRDefault="00EC1A07" w:rsidP="00C30297">
      <w:pPr>
        <w:jc w:val="both"/>
        <w:rPr>
          <w:rFonts w:asciiTheme="minorHAnsi" w:hAnsiTheme="minorHAnsi" w:cstheme="minorHAnsi"/>
          <w:sz w:val="20"/>
          <w:szCs w:val="20"/>
        </w:rPr>
      </w:pPr>
    </w:p>
    <w:p w14:paraId="6FB3EF2E" w14:textId="77777777" w:rsidR="007C79EB" w:rsidRDefault="007C79EB" w:rsidP="007C79EB">
      <w:pPr>
        <w:jc w:val="both"/>
        <w:rPr>
          <w:rFonts w:asciiTheme="minorHAnsi" w:hAnsiTheme="minorHAnsi" w:cstheme="minorHAnsi"/>
          <w:sz w:val="20"/>
          <w:szCs w:val="20"/>
        </w:rPr>
      </w:pPr>
      <w:r w:rsidRPr="00E70BC9">
        <w:rPr>
          <w:rFonts w:asciiTheme="minorHAnsi" w:hAnsiTheme="minorHAnsi" w:cstheme="minorHAnsi"/>
          <w:sz w:val="20"/>
          <w:szCs w:val="20"/>
        </w:rPr>
        <w:t xml:space="preserve">  </w:t>
      </w:r>
    </w:p>
    <w:p w14:paraId="64EBB1D8" w14:textId="77777777" w:rsidR="004D1A08" w:rsidRDefault="004D1A08" w:rsidP="007C79EB">
      <w:pPr>
        <w:jc w:val="both"/>
        <w:rPr>
          <w:rFonts w:asciiTheme="minorHAnsi" w:hAnsiTheme="minorHAnsi" w:cstheme="minorHAnsi"/>
          <w:sz w:val="20"/>
          <w:szCs w:val="20"/>
        </w:rPr>
      </w:pPr>
    </w:p>
    <w:p w14:paraId="4112884E" w14:textId="77777777" w:rsidR="004D1A08" w:rsidRDefault="004D1A08" w:rsidP="007C79EB">
      <w:pPr>
        <w:jc w:val="both"/>
        <w:rPr>
          <w:rFonts w:asciiTheme="minorHAnsi" w:hAnsiTheme="minorHAnsi" w:cstheme="minorHAnsi"/>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4D1A08" w:rsidRPr="0057597D" w14:paraId="0787936C" w14:textId="77777777" w:rsidTr="005F1F52">
        <w:tc>
          <w:tcPr>
            <w:tcW w:w="4462" w:type="dxa"/>
            <w:shd w:val="clear" w:color="auto" w:fill="auto"/>
          </w:tcPr>
          <w:p w14:paraId="7F03F432"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Data Verifica</w:t>
            </w:r>
            <w:r>
              <w:rPr>
                <w:rFonts w:asciiTheme="minorHAnsi" w:hAnsiTheme="minorHAnsi" w:cstheme="minorHAnsi"/>
                <w:i/>
              </w:rPr>
              <w:t>:</w:t>
            </w:r>
          </w:p>
        </w:tc>
        <w:tc>
          <w:tcPr>
            <w:tcW w:w="4462" w:type="dxa"/>
            <w:shd w:val="clear" w:color="auto" w:fill="auto"/>
          </w:tcPr>
          <w:p w14:paraId="55BC1687" w14:textId="77777777" w:rsidR="004D1A08" w:rsidRPr="00C62E99" w:rsidRDefault="004D1A08" w:rsidP="005F1F52">
            <w:pPr>
              <w:jc w:val="center"/>
              <w:rPr>
                <w:rFonts w:asciiTheme="minorHAnsi" w:hAnsiTheme="minorHAnsi" w:cstheme="minorHAnsi"/>
                <w:i/>
              </w:rPr>
            </w:pPr>
            <w:r w:rsidRPr="00C62E99">
              <w:rPr>
                <w:rFonts w:asciiTheme="minorHAnsi" w:hAnsiTheme="minorHAnsi" w:cstheme="minorHAnsi"/>
                <w:i/>
              </w:rPr>
              <w:t>Firma del Verificatore</w:t>
            </w:r>
          </w:p>
          <w:p w14:paraId="2BB91655"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c>
          <w:tcPr>
            <w:tcW w:w="4462" w:type="dxa"/>
            <w:shd w:val="clear" w:color="auto" w:fill="auto"/>
          </w:tcPr>
          <w:p w14:paraId="769A73D2" w14:textId="77777777" w:rsidR="004D1A08" w:rsidRDefault="004D1A08" w:rsidP="005F1F52">
            <w:pPr>
              <w:jc w:val="center"/>
              <w:rPr>
                <w:rFonts w:asciiTheme="minorHAnsi" w:hAnsiTheme="minorHAnsi" w:cstheme="minorHAnsi"/>
                <w:i/>
              </w:rPr>
            </w:pPr>
            <w:r w:rsidRPr="00C62E99">
              <w:rPr>
                <w:rFonts w:asciiTheme="minorHAnsi" w:hAnsiTheme="minorHAnsi" w:cstheme="minorHAnsi"/>
                <w:i/>
              </w:rPr>
              <w:t xml:space="preserve">Firma </w:t>
            </w:r>
            <w:r>
              <w:rPr>
                <w:rFonts w:asciiTheme="minorHAnsi" w:hAnsiTheme="minorHAnsi" w:cstheme="minorHAnsi"/>
                <w:i/>
              </w:rPr>
              <w:t xml:space="preserve">del Responsabile </w:t>
            </w:r>
            <w:r w:rsidRPr="00C62E99">
              <w:rPr>
                <w:rFonts w:asciiTheme="minorHAnsi" w:hAnsiTheme="minorHAnsi" w:cstheme="minorHAnsi"/>
                <w:i/>
              </w:rPr>
              <w:t>dell’Uff</w:t>
            </w:r>
            <w:r>
              <w:rPr>
                <w:rFonts w:asciiTheme="minorHAnsi" w:hAnsiTheme="minorHAnsi" w:cstheme="minorHAnsi"/>
                <w:i/>
              </w:rPr>
              <w:t>. Controlli</w:t>
            </w:r>
          </w:p>
          <w:p w14:paraId="1E5A414B" w14:textId="77777777" w:rsidR="004D1A08" w:rsidRPr="00C62E99" w:rsidRDefault="004D1A08" w:rsidP="005F1F52">
            <w:pPr>
              <w:jc w:val="center"/>
              <w:rPr>
                <w:rFonts w:asciiTheme="minorHAnsi" w:hAnsiTheme="minorHAnsi" w:cstheme="minorHAnsi"/>
                <w:i/>
              </w:rPr>
            </w:pPr>
            <w:r w:rsidRPr="004E68E8">
              <w:rPr>
                <w:rFonts w:asciiTheme="minorHAnsi" w:hAnsiTheme="minorHAnsi" w:cstheme="minorHAnsi"/>
                <w:i/>
              </w:rPr>
              <w:t>(per esteso leggibile)</w:t>
            </w:r>
          </w:p>
        </w:tc>
      </w:tr>
      <w:tr w:rsidR="004D1A08" w:rsidRPr="0057597D" w14:paraId="336741A6" w14:textId="77777777" w:rsidTr="005F1F52">
        <w:trPr>
          <w:trHeight w:val="502"/>
        </w:trPr>
        <w:tc>
          <w:tcPr>
            <w:tcW w:w="4462" w:type="dxa"/>
            <w:shd w:val="clear" w:color="auto" w:fill="auto"/>
            <w:vAlign w:val="bottom"/>
          </w:tcPr>
          <w:p w14:paraId="772F3A0C" w14:textId="77777777" w:rsidR="004D1A08" w:rsidRPr="0057597D" w:rsidRDefault="004D1A08" w:rsidP="005F1F52">
            <w:pPr>
              <w:jc w:val="center"/>
              <w:rPr>
                <w:rFonts w:asciiTheme="minorHAnsi" w:hAnsiTheme="minorHAnsi" w:cstheme="minorHAnsi"/>
              </w:rPr>
            </w:pPr>
            <w:r w:rsidRPr="00386C47">
              <w:rPr>
                <w:rFonts w:asciiTheme="minorHAnsi" w:hAnsiTheme="minorHAnsi" w:cstheme="minorHAnsi"/>
                <w:sz w:val="28"/>
                <w:szCs w:val="20"/>
              </w:rPr>
              <w:t>__ / __ / ____</w:t>
            </w:r>
          </w:p>
        </w:tc>
        <w:tc>
          <w:tcPr>
            <w:tcW w:w="4462" w:type="dxa"/>
            <w:shd w:val="clear" w:color="auto" w:fill="auto"/>
            <w:vAlign w:val="bottom"/>
          </w:tcPr>
          <w:p w14:paraId="69D2D7D1"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c>
          <w:tcPr>
            <w:tcW w:w="4462" w:type="dxa"/>
            <w:shd w:val="clear" w:color="auto" w:fill="auto"/>
            <w:vAlign w:val="bottom"/>
          </w:tcPr>
          <w:p w14:paraId="58AE57B3" w14:textId="77777777" w:rsidR="004D1A08" w:rsidRPr="0057597D" w:rsidRDefault="004D1A08" w:rsidP="005F1F52">
            <w:pPr>
              <w:jc w:val="center"/>
              <w:rPr>
                <w:rFonts w:asciiTheme="minorHAnsi" w:hAnsiTheme="minorHAnsi" w:cstheme="minorHAnsi"/>
              </w:rPr>
            </w:pPr>
            <w:r w:rsidRPr="0057597D">
              <w:rPr>
                <w:rFonts w:asciiTheme="minorHAnsi" w:hAnsiTheme="minorHAnsi" w:cstheme="minorHAnsi"/>
              </w:rPr>
              <w:t>_______________________</w:t>
            </w:r>
          </w:p>
        </w:tc>
      </w:tr>
    </w:tbl>
    <w:p w14:paraId="1B4E4C0F" w14:textId="77777777" w:rsidR="004D1A08" w:rsidRPr="00E70BC9" w:rsidRDefault="004D1A08" w:rsidP="007C79EB">
      <w:pPr>
        <w:jc w:val="both"/>
        <w:rPr>
          <w:rFonts w:asciiTheme="minorHAnsi" w:hAnsiTheme="minorHAnsi" w:cstheme="minorHAnsi"/>
          <w:sz w:val="20"/>
          <w:szCs w:val="20"/>
        </w:rPr>
      </w:pPr>
    </w:p>
    <w:p w14:paraId="25C88B41" w14:textId="77777777" w:rsidR="00C30297" w:rsidRPr="00563AB8" w:rsidRDefault="00C30297" w:rsidP="006E33C2">
      <w:pPr>
        <w:jc w:val="center"/>
        <w:rPr>
          <w:sz w:val="20"/>
          <w:szCs w:val="20"/>
        </w:rPr>
      </w:pPr>
    </w:p>
    <w:sectPr w:rsidR="00C30297" w:rsidRPr="00563AB8" w:rsidSect="008016C7">
      <w:headerReference w:type="default" r:id="rId16"/>
      <w:footerReference w:type="default" r:id="rId17"/>
      <w:footerReference w:type="first" r:id="rId18"/>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D63D2" w14:textId="77777777" w:rsidR="00CC1927" w:rsidRDefault="00CC1927" w:rsidP="0054413A">
      <w:r>
        <w:separator/>
      </w:r>
    </w:p>
  </w:endnote>
  <w:endnote w:type="continuationSeparator" w:id="0">
    <w:p w14:paraId="5ED25E46" w14:textId="77777777" w:rsidR="00CC1927" w:rsidRDefault="00CC1927" w:rsidP="0054413A">
      <w:r>
        <w:continuationSeparator/>
      </w:r>
    </w:p>
  </w:endnote>
  <w:endnote w:id="1">
    <w:p w14:paraId="03C409BD" w14:textId="3672EB2A" w:rsidR="00EC00EA" w:rsidRPr="00EC00EA" w:rsidRDefault="00EC00EA" w:rsidP="00EC00EA">
      <w:pPr>
        <w:pStyle w:val="NormaleWeb"/>
        <w:jc w:val="both"/>
        <w:rPr>
          <w:rFonts w:ascii="Calibri" w:hAnsi="Calibri" w:cs="Calibri"/>
          <w:color w:val="000000"/>
        </w:rPr>
      </w:pPr>
      <w:r>
        <w:rPr>
          <w:rStyle w:val="Rimandonotadichiusura"/>
        </w:rPr>
        <w:endnoteRef/>
      </w:r>
      <w:r>
        <w:t xml:space="preserve"> </w:t>
      </w:r>
      <w:r>
        <w:rPr>
          <w:rFonts w:ascii="Calibri" w:hAnsi="Calibri" w:cs="Calibri"/>
          <w:color w:val="000000"/>
        </w:rPr>
        <w:t>Dal 1° gennaio 2020 le soglie di rilevanza comunitaria sono: a) euro 5.350.000 per gli appalti pubblici di lavori e per le concessioni;  b) euro 139.000 per gli appalti pubblici di forniture, di servizi e per i concorsi pubblici di progettazione aggiudicati dalle amministrazioni aggiudicatrici che sono autorità governative centrali indicate nell'</w:t>
      </w:r>
      <w:hyperlink r:id="rId1" w:anchor="Allegato_III" w:history="1">
        <w:r>
          <w:rPr>
            <w:rStyle w:val="Collegamentoipertestuale"/>
            <w:rFonts w:ascii="Calibri" w:hAnsi="Calibri" w:cs="Calibri"/>
          </w:rPr>
          <w:t>allegato III</w:t>
        </w:r>
      </w:hyperlink>
      <w:r>
        <w:rPr>
          <w:rFonts w:ascii="Calibri" w:hAnsi="Calibri" w:cs="Calibri"/>
          <w:color w:val="000000"/>
        </w:rPr>
        <w:t>; se gli appalti pubblici di forniture sono aggiudicati da amministrazioni aggiudicatrici operanti nel settore della difesa, questa soglia si applica solo agli appalti concernenti i prodotti menzionati nell’</w:t>
      </w:r>
      <w:hyperlink r:id="rId2" w:tgtFrame="_blank" w:history="1">
        <w:r>
          <w:rPr>
            <w:rStyle w:val="Collegamentoipertestuale"/>
            <w:rFonts w:ascii="Calibri" w:hAnsi="Calibri" w:cs="Calibri"/>
          </w:rPr>
          <w:t>allegato VIII</w:t>
        </w:r>
      </w:hyperlink>
      <w:r>
        <w:rPr>
          <w:rFonts w:ascii="Calibri" w:hAnsi="Calibri" w:cs="Calibri"/>
          <w:color w:val="000000"/>
        </w:rPr>
        <w:t>;  c) euro 214.000 per gli appalti pubblici di forniture, di servizi e per i concorsi pubblici di progettazione aggiudicati da amministrazioni aggiudicatrici sub-centrali; tale soglia si applica anche agli appalti pubblici di forniture aggiudicati dalle autorità governative centrali che operano nel settore della difesa, allorché tali appalti concernono prodotti non menzionati nell’</w:t>
      </w:r>
      <w:hyperlink r:id="rId3" w:tgtFrame="_blank" w:history="1">
        <w:r>
          <w:rPr>
            <w:rStyle w:val="Collegamentoipertestuale"/>
            <w:rFonts w:ascii="Calibri" w:hAnsi="Calibri" w:cs="Calibri"/>
          </w:rPr>
          <w:t>allegato VIII</w:t>
        </w:r>
      </w:hyperlink>
      <w:r>
        <w:rPr>
          <w:rFonts w:ascii="Calibri" w:hAnsi="Calibri" w:cs="Calibri"/>
          <w:color w:val="000000"/>
        </w:rPr>
        <w:t>;  d) euro 750.000 per gli appalti di servizi sociali e di altri servizi specifici elencati all’</w:t>
      </w:r>
      <w:hyperlink r:id="rId4" w:tgtFrame="_blank" w:history="1">
        <w:r>
          <w:rPr>
            <w:rStyle w:val="Collegamentoipertestuale"/>
            <w:rFonts w:ascii="Calibri" w:hAnsi="Calibri" w:cs="Calibri"/>
          </w:rPr>
          <w:t>allegato IX</w:t>
        </w:r>
      </w:hyperlink>
      <w:r>
        <w:rPr>
          <w:rFonts w:ascii="Calibri" w:hAnsi="Calibri" w:cs="Calibri"/>
          <w:color w:val="000000"/>
        </w:rPr>
        <w:t xml:space="preserve">. </w:t>
      </w:r>
    </w:p>
    <w:p w14:paraId="517D87D1" w14:textId="12B640CD" w:rsidR="00EC00EA" w:rsidRDefault="00EC00EA">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0567201"/>
      <w:docPartObj>
        <w:docPartGallery w:val="Page Numbers (Bottom of Page)"/>
        <w:docPartUnique/>
      </w:docPartObj>
    </w:sdtPr>
    <w:sdtEndPr>
      <w:rPr>
        <w:rFonts w:asciiTheme="minorHAnsi" w:hAnsiTheme="minorHAnsi" w:cstheme="minorHAnsi"/>
      </w:rPr>
    </w:sdtEndPr>
    <w:sdtContent>
      <w:p w14:paraId="4E94724D" w14:textId="77777777" w:rsidR="00B97EFD" w:rsidRPr="00604374" w:rsidRDefault="00B97EFD" w:rsidP="00B97EFD">
        <w:pPr>
          <w:pStyle w:val="Pidipagina"/>
          <w:jc w:val="center"/>
          <w:rPr>
            <w:rFonts w:asciiTheme="minorHAnsi" w:hAnsiTheme="minorHAnsi" w:cstheme="minorHAnsi"/>
          </w:rPr>
        </w:pPr>
        <w:r w:rsidRPr="00604374">
          <w:rPr>
            <w:rFonts w:asciiTheme="minorHAnsi" w:hAnsiTheme="minorHAnsi" w:cstheme="minorHAnsi"/>
          </w:rPr>
          <w:fldChar w:fldCharType="begin"/>
        </w:r>
        <w:r w:rsidRPr="00604374">
          <w:rPr>
            <w:rFonts w:asciiTheme="minorHAnsi" w:hAnsiTheme="minorHAnsi" w:cstheme="minorHAnsi"/>
          </w:rPr>
          <w:instrText>PAGE   \* MERGEFORMAT</w:instrText>
        </w:r>
        <w:r w:rsidRPr="00604374">
          <w:rPr>
            <w:rFonts w:asciiTheme="minorHAnsi" w:hAnsiTheme="minorHAnsi" w:cstheme="minorHAnsi"/>
          </w:rPr>
          <w:fldChar w:fldCharType="separate"/>
        </w:r>
        <w:r w:rsidR="00C308BE">
          <w:rPr>
            <w:rFonts w:asciiTheme="minorHAnsi" w:hAnsiTheme="minorHAnsi" w:cstheme="minorHAnsi"/>
            <w:noProof/>
          </w:rPr>
          <w:t>18</w:t>
        </w:r>
        <w:r w:rsidRPr="00604374">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9ABE" w14:textId="77777777" w:rsidR="00280DC2" w:rsidRDefault="00280DC2" w:rsidP="00280DC2">
    <w:pPr>
      <w:pStyle w:val="Pidipagina"/>
      <w:jc w:val="right"/>
      <w:rPr>
        <w:rFonts w:ascii="Calibri" w:hAnsi="Calibri" w:cs="Calibri"/>
        <w:sz w:val="20"/>
        <w:szCs w:val="20"/>
      </w:rPr>
    </w:pPr>
    <w:r>
      <w:rPr>
        <w:rFonts w:ascii="Calibri" w:hAnsi="Calibri" w:cs="Calibri"/>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742CB" w14:textId="77777777" w:rsidR="00CC1927" w:rsidRDefault="00CC1927" w:rsidP="0054413A">
      <w:r>
        <w:separator/>
      </w:r>
    </w:p>
  </w:footnote>
  <w:footnote w:type="continuationSeparator" w:id="0">
    <w:p w14:paraId="0DBF8739" w14:textId="77777777" w:rsidR="00CC1927" w:rsidRDefault="00CC1927" w:rsidP="0054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09"/>
      <w:gridCol w:w="4809"/>
    </w:tblGrid>
    <w:tr w:rsidR="00D163D8" w14:paraId="6F2215BE" w14:textId="77777777" w:rsidTr="00D163D8">
      <w:tc>
        <w:tcPr>
          <w:tcW w:w="4809" w:type="dxa"/>
        </w:tcPr>
        <w:p w14:paraId="4342ABA2" w14:textId="77777777" w:rsidR="00D163D8" w:rsidRDefault="00D163D8" w:rsidP="00D163D8">
          <w:pPr>
            <w:pStyle w:val="Intestazione"/>
          </w:pPr>
          <w:r w:rsidRPr="00D163D8">
            <w:rPr>
              <w:noProof/>
              <w:lang w:eastAsia="it-IT"/>
            </w:rPr>
            <w:drawing>
              <wp:anchor distT="0" distB="0" distL="114300" distR="114300" simplePos="0" relativeHeight="251654144" behindDoc="0" locked="0" layoutInCell="1" allowOverlap="1" wp14:anchorId="49EE55D2" wp14:editId="575F22CB">
                <wp:simplePos x="0" y="0"/>
                <wp:positionH relativeFrom="column">
                  <wp:posOffset>92710</wp:posOffset>
                </wp:positionH>
                <wp:positionV relativeFrom="paragraph">
                  <wp:posOffset>-17780</wp:posOffset>
                </wp:positionV>
                <wp:extent cx="739775" cy="503555"/>
                <wp:effectExtent l="0" t="0" r="3175" b="0"/>
                <wp:wrapNone/>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9775" cy="5035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09" w:type="dxa"/>
        </w:tcPr>
        <w:p w14:paraId="156BACF4" w14:textId="5CD4E406" w:rsidR="00D163D8" w:rsidRPr="00D163D8" w:rsidRDefault="00F36956" w:rsidP="00D163D8">
          <w:pPr>
            <w:pStyle w:val="Intestazione"/>
            <w:jc w:val="center"/>
            <w:rPr>
              <w:rFonts w:asciiTheme="minorHAnsi" w:hAnsiTheme="minorHAnsi" w:cstheme="minorHAnsi"/>
              <w:b/>
            </w:rPr>
          </w:pPr>
          <w:r>
            <w:rPr>
              <w:rFonts w:asciiTheme="minorHAnsi" w:hAnsiTheme="minorHAnsi" w:cstheme="minorHAnsi"/>
              <w:b/>
              <w:color w:val="002060"/>
              <w:sz w:val="28"/>
            </w:rPr>
            <w:t>PN</w:t>
          </w:r>
          <w:r w:rsidRPr="0061507D">
            <w:rPr>
              <w:rFonts w:asciiTheme="minorHAnsi" w:hAnsiTheme="minorHAnsi" w:cstheme="minorHAnsi"/>
              <w:b/>
              <w:color w:val="002060"/>
              <w:sz w:val="28"/>
            </w:rPr>
            <w:t xml:space="preserve"> BMVI e ISF 2021-2027</w:t>
          </w:r>
        </w:p>
      </w:tc>
      <w:tc>
        <w:tcPr>
          <w:tcW w:w="4809" w:type="dxa"/>
        </w:tcPr>
        <w:p w14:paraId="5ED6BD1E" w14:textId="77777777" w:rsidR="00D163D8" w:rsidRDefault="00D163D8" w:rsidP="00D163D8">
          <w:pPr>
            <w:pStyle w:val="Intestazione"/>
          </w:pPr>
          <w:r>
            <w:rPr>
              <w:rFonts w:ascii="Calibri" w:hAnsi="Calibri" w:cs="Calibri"/>
              <w:b/>
              <w:bCs/>
              <w:noProof/>
              <w:color w:val="365F91"/>
              <w:sz w:val="28"/>
              <w:szCs w:val="28"/>
              <w:lang w:eastAsia="it-IT"/>
            </w:rPr>
            <mc:AlternateContent>
              <mc:Choice Requires="wps">
                <w:drawing>
                  <wp:anchor distT="0" distB="0" distL="114300" distR="114300" simplePos="0" relativeHeight="251662336" behindDoc="0" locked="0" layoutInCell="1" allowOverlap="1" wp14:anchorId="77C6A6DA" wp14:editId="1AFBE29F">
                    <wp:simplePos x="0" y="0"/>
                    <wp:positionH relativeFrom="column">
                      <wp:posOffset>2232660</wp:posOffset>
                    </wp:positionH>
                    <wp:positionV relativeFrom="paragraph">
                      <wp:posOffset>-127000</wp:posOffset>
                    </wp:positionV>
                    <wp:extent cx="767715" cy="262255"/>
                    <wp:effectExtent l="0" t="0" r="0" b="44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D15729" w14:textId="32281CD0" w:rsidR="00D163D8" w:rsidRPr="00F9774E" w:rsidRDefault="00D163D8" w:rsidP="00D163D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E075F7">
                                  <w:rPr>
                                    <w:rFonts w:asciiTheme="minorHAnsi" w:hAnsiTheme="minorHAnsi" w:cstheme="minorHAnsi"/>
                                    <w:b/>
                                    <w:sz w:val="22"/>
                                    <w:szCs w:val="20"/>
                                  </w:rPr>
                                  <w:t>1</w:t>
                                </w:r>
                                <w:r w:rsidR="00611870">
                                  <w:rPr>
                                    <w:rFonts w:asciiTheme="minorHAnsi" w:hAnsiTheme="minorHAnsi" w:cstheme="minorHAnsi"/>
                                    <w:b/>
                                    <w:sz w:val="22"/>
                                    <w:szCs w:val="20"/>
                                  </w:rPr>
                                  <w:t>4.a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7C6A6DA" id="_x0000_t202" coordsize="21600,21600" o:spt="202" path="m,l,21600r21600,l21600,xe">
                    <v:stroke joinstyle="miter"/>
                    <v:path gradientshapeok="t" o:connecttype="rect"/>
                  </v:shapetype>
                  <v:shape id="Casella di testo 2" o:spid="_x0000_s1027" type="#_x0000_t202" style="position:absolute;margin-left:175.8pt;margin-top:-10pt;width:60.45pt;height:20.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bRAwOd8AAAAKAQAADwAAAGRycy9kb3ducmV2&#10;LnhtbEyPy07DMBBF90j8gzVI7FonKSlVyKSqqNiwQKIg0aUbT+KI+CHbTcPfY1Z0ObpH956pt7Me&#10;2UQ+DNYg5MsMGJnWysH0CJ8fL4sNsBCFkWK0hhB+KMC2ub2pRSXtxbzTdIg9SyUmVAJBxegqzkOr&#10;SIuwtI5MyjrrtYjp9D2XXlxSuR55kWVrrsVg0oISjp4Vtd+Hs0b40mqQe/927OQ47V+7Xelm7xDv&#10;7+bdE7BIc/yH4U8/qUOTnE72bGRgI8KqzNcJRVikHWCJeHgsSmAnhCJfAW9qfv1C8wsAAP//AwBQ&#10;SwECLQAUAAYACAAAACEAtoM4kv4AAADhAQAAEwAAAAAAAAAAAAAAAAAAAAAAW0NvbnRlbnRfVHlw&#10;ZXNdLnhtbFBLAQItABQABgAIAAAAIQA4/SH/1gAAAJQBAAALAAAAAAAAAAAAAAAAAC8BAABfcmVs&#10;cy8ucmVsc1BLAQItABQABgAIAAAAIQAi+txw8QEAAMkDAAAOAAAAAAAAAAAAAAAAAC4CAABkcnMv&#10;ZTJvRG9jLnhtbFBLAQItABQABgAIAAAAIQBtEDA53wAAAAoBAAAPAAAAAAAAAAAAAAAAAEsEAABk&#10;cnMvZG93bnJldi54bWxQSwUGAAAAAAQABADzAAAAVwUAAAAA&#10;" stroked="f">
                    <v:textbox style="mso-fit-shape-to-text:t">
                      <w:txbxContent>
                        <w:p w14:paraId="02D15729" w14:textId="32281CD0" w:rsidR="00D163D8" w:rsidRPr="00F9774E" w:rsidRDefault="00D163D8" w:rsidP="00D163D8">
                          <w:pPr>
                            <w:jc w:val="right"/>
                            <w:rPr>
                              <w:rFonts w:asciiTheme="minorHAnsi" w:hAnsiTheme="minorHAnsi" w:cstheme="minorHAnsi"/>
                              <w:b/>
                              <w:sz w:val="22"/>
                              <w:szCs w:val="20"/>
                            </w:rPr>
                          </w:pPr>
                          <w:r w:rsidRPr="00F9774E">
                            <w:rPr>
                              <w:rFonts w:asciiTheme="minorHAnsi" w:hAnsiTheme="minorHAnsi" w:cstheme="minorHAnsi"/>
                              <w:b/>
                              <w:sz w:val="22"/>
                              <w:szCs w:val="20"/>
                            </w:rPr>
                            <w:t>ALL.</w:t>
                          </w:r>
                          <w:r w:rsidR="00E075F7">
                            <w:rPr>
                              <w:rFonts w:asciiTheme="minorHAnsi" w:hAnsiTheme="minorHAnsi" w:cstheme="minorHAnsi"/>
                              <w:b/>
                              <w:sz w:val="22"/>
                              <w:szCs w:val="20"/>
                            </w:rPr>
                            <w:t>1</w:t>
                          </w:r>
                          <w:r w:rsidR="00611870">
                            <w:rPr>
                              <w:rFonts w:asciiTheme="minorHAnsi" w:hAnsiTheme="minorHAnsi" w:cstheme="minorHAnsi"/>
                              <w:b/>
                              <w:sz w:val="22"/>
                              <w:szCs w:val="20"/>
                            </w:rPr>
                            <w:t>4.a</w:t>
                          </w:r>
                        </w:p>
                      </w:txbxContent>
                    </v:textbox>
                  </v:shape>
                </w:pict>
              </mc:Fallback>
            </mc:AlternateContent>
          </w:r>
          <w:r w:rsidRPr="00D163D8">
            <w:rPr>
              <w:noProof/>
              <w:lang w:eastAsia="it-IT"/>
            </w:rPr>
            <w:drawing>
              <wp:anchor distT="0" distB="0" distL="114300" distR="114300" simplePos="0" relativeHeight="251658240" behindDoc="0" locked="0" layoutInCell="1" allowOverlap="1" wp14:anchorId="4C31B71E" wp14:editId="2A4ACD12">
                <wp:simplePos x="0" y="0"/>
                <wp:positionH relativeFrom="column">
                  <wp:posOffset>1287780</wp:posOffset>
                </wp:positionH>
                <wp:positionV relativeFrom="paragraph">
                  <wp:posOffset>-17780</wp:posOffset>
                </wp:positionV>
                <wp:extent cx="1637665" cy="539750"/>
                <wp:effectExtent l="0" t="0" r="635" b="0"/>
                <wp:wrapNone/>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7665" cy="5397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9A8FECE" w14:textId="77777777" w:rsidR="00706F09" w:rsidRPr="00D163D8" w:rsidRDefault="00706F09" w:rsidP="00D163D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4E71"/>
    <w:multiLevelType w:val="hybridMultilevel"/>
    <w:tmpl w:val="3BB87A4E"/>
    <w:lvl w:ilvl="0" w:tplc="EFE47FE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216326"/>
    <w:multiLevelType w:val="hybridMultilevel"/>
    <w:tmpl w:val="462C7530"/>
    <w:lvl w:ilvl="0" w:tplc="389C1FA0">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15:restartNumberingAfterBreak="0">
    <w:nsid w:val="2D100313"/>
    <w:multiLevelType w:val="hybridMultilevel"/>
    <w:tmpl w:val="9FBEDAB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3" w15:restartNumberingAfterBreak="0">
    <w:nsid w:val="311A72E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352D30B0"/>
    <w:multiLevelType w:val="hybridMultilevel"/>
    <w:tmpl w:val="0EECF0F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36F22C63"/>
    <w:multiLevelType w:val="hybridMultilevel"/>
    <w:tmpl w:val="9F7850C8"/>
    <w:lvl w:ilvl="0" w:tplc="37AAF43E">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9506C5F"/>
    <w:multiLevelType w:val="hybridMultilevel"/>
    <w:tmpl w:val="25BADDEA"/>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15:restartNumberingAfterBreak="0">
    <w:nsid w:val="3A063BE2"/>
    <w:multiLevelType w:val="hybridMultilevel"/>
    <w:tmpl w:val="36969200"/>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8" w15:restartNumberingAfterBreak="0">
    <w:nsid w:val="3AD718E8"/>
    <w:multiLevelType w:val="hybridMultilevel"/>
    <w:tmpl w:val="8A16E30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4CDC6A97"/>
    <w:multiLevelType w:val="hybridMultilevel"/>
    <w:tmpl w:val="F3B88B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3B642F1"/>
    <w:multiLevelType w:val="hybridMultilevel"/>
    <w:tmpl w:val="B3626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577E88"/>
    <w:multiLevelType w:val="hybridMultilevel"/>
    <w:tmpl w:val="AC248E6A"/>
    <w:lvl w:ilvl="0" w:tplc="04100001">
      <w:start w:val="1"/>
      <w:numFmt w:val="bullet"/>
      <w:lvlText w:val=""/>
      <w:lvlJc w:val="left"/>
      <w:pPr>
        <w:ind w:left="1353"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15:restartNumberingAfterBreak="0">
    <w:nsid w:val="59141BFA"/>
    <w:multiLevelType w:val="hybridMultilevel"/>
    <w:tmpl w:val="0246B8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21F07F2"/>
    <w:multiLevelType w:val="hybridMultilevel"/>
    <w:tmpl w:val="048261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D1B7AA5"/>
    <w:multiLevelType w:val="hybridMultilevel"/>
    <w:tmpl w:val="8476406E"/>
    <w:lvl w:ilvl="0" w:tplc="D17CFD38">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6" w15:restartNumberingAfterBreak="0">
    <w:nsid w:val="72CF4220"/>
    <w:multiLevelType w:val="hybridMultilevel"/>
    <w:tmpl w:val="9662B6CA"/>
    <w:lvl w:ilvl="0" w:tplc="FF340CAA">
      <w:start w:val="1"/>
      <w:numFmt w:val="decimal"/>
      <w:lvlText w:val="%1."/>
      <w:lvlJc w:val="left"/>
      <w:pPr>
        <w:ind w:left="360" w:hanging="360"/>
      </w:pPr>
      <w:rPr>
        <w:rFonts w:asciiTheme="minorHAnsi" w:hAnsiTheme="minorHAnsi" w:cstheme="minorHAnsi" w:hint="default"/>
        <w:b w:val="0"/>
        <w:bCs/>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7" w15:restartNumberingAfterBreak="0">
    <w:nsid w:val="78551571"/>
    <w:multiLevelType w:val="hybridMultilevel"/>
    <w:tmpl w:val="2C2280E2"/>
    <w:lvl w:ilvl="0" w:tplc="04100017">
      <w:start w:val="1"/>
      <w:numFmt w:val="lowerLetter"/>
      <w:lvlText w:val="%1)"/>
      <w:lvlJc w:val="left"/>
      <w:pPr>
        <w:ind w:left="720" w:hanging="360"/>
      </w:pPr>
      <w:rPr>
        <w:rFonts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15"/>
  </w:num>
  <w:num w:numId="2">
    <w:abstractNumId w:val="2"/>
  </w:num>
  <w:num w:numId="3">
    <w:abstractNumId w:val="17"/>
  </w:num>
  <w:num w:numId="4">
    <w:abstractNumId w:val="9"/>
  </w:num>
  <w:num w:numId="5">
    <w:abstractNumId w:val="10"/>
  </w:num>
  <w:num w:numId="6">
    <w:abstractNumId w:val="11"/>
  </w:num>
  <w:num w:numId="7">
    <w:abstractNumId w:val="8"/>
  </w:num>
  <w:num w:numId="8">
    <w:abstractNumId w:val="12"/>
  </w:num>
  <w:num w:numId="9">
    <w:abstractNumId w:val="7"/>
  </w:num>
  <w:num w:numId="10">
    <w:abstractNumId w:val="5"/>
  </w:num>
  <w:num w:numId="11">
    <w:abstractNumId w:val="13"/>
  </w:num>
  <w:num w:numId="12">
    <w:abstractNumId w:val="0"/>
  </w:num>
  <w:num w:numId="13">
    <w:abstractNumId w:val="4"/>
  </w:num>
  <w:num w:numId="14">
    <w:abstractNumId w:val="1"/>
  </w:num>
  <w:num w:numId="15">
    <w:abstractNumId w:val="14"/>
  </w:num>
  <w:num w:numId="16">
    <w:abstractNumId w:val="3"/>
  </w:num>
  <w:num w:numId="17">
    <w:abstractNumId w:val="16"/>
  </w:num>
  <w:num w:numId="1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01"/>
    <w:rsid w:val="00004064"/>
    <w:rsid w:val="00007E84"/>
    <w:rsid w:val="0001091E"/>
    <w:rsid w:val="00034C2C"/>
    <w:rsid w:val="00035A73"/>
    <w:rsid w:val="00035B4D"/>
    <w:rsid w:val="0004078F"/>
    <w:rsid w:val="00041085"/>
    <w:rsid w:val="00052059"/>
    <w:rsid w:val="00054EA8"/>
    <w:rsid w:val="00073CA0"/>
    <w:rsid w:val="00077544"/>
    <w:rsid w:val="000933F8"/>
    <w:rsid w:val="000A1C22"/>
    <w:rsid w:val="000A2F45"/>
    <w:rsid w:val="000A4F73"/>
    <w:rsid w:val="000A6A62"/>
    <w:rsid w:val="000C07DA"/>
    <w:rsid w:val="000C18CD"/>
    <w:rsid w:val="000C283A"/>
    <w:rsid w:val="000D5BA7"/>
    <w:rsid w:val="000E29E3"/>
    <w:rsid w:val="000E2C4A"/>
    <w:rsid w:val="0010789B"/>
    <w:rsid w:val="001141B9"/>
    <w:rsid w:val="00117423"/>
    <w:rsid w:val="00121A8B"/>
    <w:rsid w:val="00122308"/>
    <w:rsid w:val="0015062B"/>
    <w:rsid w:val="00172842"/>
    <w:rsid w:val="001769D0"/>
    <w:rsid w:val="001776C1"/>
    <w:rsid w:val="00182BC6"/>
    <w:rsid w:val="00184378"/>
    <w:rsid w:val="00186421"/>
    <w:rsid w:val="0018769D"/>
    <w:rsid w:val="00194A3D"/>
    <w:rsid w:val="0019701A"/>
    <w:rsid w:val="00197349"/>
    <w:rsid w:val="001A5B7F"/>
    <w:rsid w:val="001B2199"/>
    <w:rsid w:val="001B6DDC"/>
    <w:rsid w:val="001C1477"/>
    <w:rsid w:val="001C24AD"/>
    <w:rsid w:val="001C4EA3"/>
    <w:rsid w:val="001C7213"/>
    <w:rsid w:val="001D4CB2"/>
    <w:rsid w:val="001E05AD"/>
    <w:rsid w:val="001E46A8"/>
    <w:rsid w:val="001F38A5"/>
    <w:rsid w:val="00201E69"/>
    <w:rsid w:val="00213148"/>
    <w:rsid w:val="00220007"/>
    <w:rsid w:val="0022151B"/>
    <w:rsid w:val="00222560"/>
    <w:rsid w:val="00225941"/>
    <w:rsid w:val="00247A60"/>
    <w:rsid w:val="00267369"/>
    <w:rsid w:val="002674CC"/>
    <w:rsid w:val="00267D72"/>
    <w:rsid w:val="00273014"/>
    <w:rsid w:val="00280DC2"/>
    <w:rsid w:val="00295B2A"/>
    <w:rsid w:val="00297CEE"/>
    <w:rsid w:val="002B3B48"/>
    <w:rsid w:val="002C1D72"/>
    <w:rsid w:val="002D19AA"/>
    <w:rsid w:val="002E04A5"/>
    <w:rsid w:val="002E356C"/>
    <w:rsid w:val="002F1434"/>
    <w:rsid w:val="002F2572"/>
    <w:rsid w:val="002F30FE"/>
    <w:rsid w:val="002F37D8"/>
    <w:rsid w:val="00301013"/>
    <w:rsid w:val="003020C8"/>
    <w:rsid w:val="003074F1"/>
    <w:rsid w:val="003213E5"/>
    <w:rsid w:val="00322992"/>
    <w:rsid w:val="00330737"/>
    <w:rsid w:val="00342002"/>
    <w:rsid w:val="0035186E"/>
    <w:rsid w:val="003553B8"/>
    <w:rsid w:val="0036712C"/>
    <w:rsid w:val="003713AB"/>
    <w:rsid w:val="003741BC"/>
    <w:rsid w:val="00383C52"/>
    <w:rsid w:val="0038727B"/>
    <w:rsid w:val="00391AFD"/>
    <w:rsid w:val="003A495C"/>
    <w:rsid w:val="003B78EF"/>
    <w:rsid w:val="003D11DC"/>
    <w:rsid w:val="003E5034"/>
    <w:rsid w:val="003F3EF0"/>
    <w:rsid w:val="003F4ACB"/>
    <w:rsid w:val="003F56F7"/>
    <w:rsid w:val="003F5D85"/>
    <w:rsid w:val="004038F5"/>
    <w:rsid w:val="00406BB3"/>
    <w:rsid w:val="00413AEF"/>
    <w:rsid w:val="004161C6"/>
    <w:rsid w:val="0042176B"/>
    <w:rsid w:val="0043211C"/>
    <w:rsid w:val="004353A6"/>
    <w:rsid w:val="004429F1"/>
    <w:rsid w:val="00444ECF"/>
    <w:rsid w:val="0045556A"/>
    <w:rsid w:val="0046107D"/>
    <w:rsid w:val="00484DF5"/>
    <w:rsid w:val="00493247"/>
    <w:rsid w:val="004A143A"/>
    <w:rsid w:val="004A7980"/>
    <w:rsid w:val="004B213F"/>
    <w:rsid w:val="004C2FF4"/>
    <w:rsid w:val="004C6E0D"/>
    <w:rsid w:val="004D1A08"/>
    <w:rsid w:val="004D4821"/>
    <w:rsid w:val="004D7BEB"/>
    <w:rsid w:val="004E2ECF"/>
    <w:rsid w:val="004E3073"/>
    <w:rsid w:val="004F0F6F"/>
    <w:rsid w:val="004F1948"/>
    <w:rsid w:val="004F70E6"/>
    <w:rsid w:val="0050142E"/>
    <w:rsid w:val="005255B8"/>
    <w:rsid w:val="00526822"/>
    <w:rsid w:val="00527D0B"/>
    <w:rsid w:val="00527FDB"/>
    <w:rsid w:val="0054413A"/>
    <w:rsid w:val="00550822"/>
    <w:rsid w:val="005538B3"/>
    <w:rsid w:val="00553F0B"/>
    <w:rsid w:val="00561FD3"/>
    <w:rsid w:val="00563AB8"/>
    <w:rsid w:val="0056530D"/>
    <w:rsid w:val="00570835"/>
    <w:rsid w:val="0057585A"/>
    <w:rsid w:val="00576E34"/>
    <w:rsid w:val="00582DC8"/>
    <w:rsid w:val="005848B5"/>
    <w:rsid w:val="0058793E"/>
    <w:rsid w:val="005B4860"/>
    <w:rsid w:val="005B7D23"/>
    <w:rsid w:val="005C40A0"/>
    <w:rsid w:val="005C5A11"/>
    <w:rsid w:val="005C6031"/>
    <w:rsid w:val="005D5876"/>
    <w:rsid w:val="005E4A34"/>
    <w:rsid w:val="00603B56"/>
    <w:rsid w:val="00604374"/>
    <w:rsid w:val="0060576F"/>
    <w:rsid w:val="00611870"/>
    <w:rsid w:val="00627E61"/>
    <w:rsid w:val="0064158B"/>
    <w:rsid w:val="00643F7D"/>
    <w:rsid w:val="00670F87"/>
    <w:rsid w:val="00674A72"/>
    <w:rsid w:val="006846AC"/>
    <w:rsid w:val="00694A63"/>
    <w:rsid w:val="006A1712"/>
    <w:rsid w:val="006A3D87"/>
    <w:rsid w:val="006B6AE8"/>
    <w:rsid w:val="006C4472"/>
    <w:rsid w:val="006D1217"/>
    <w:rsid w:val="006D70F4"/>
    <w:rsid w:val="006E33C2"/>
    <w:rsid w:val="00701C31"/>
    <w:rsid w:val="00706F09"/>
    <w:rsid w:val="007162FD"/>
    <w:rsid w:val="00726BF5"/>
    <w:rsid w:val="0073641E"/>
    <w:rsid w:val="0074016E"/>
    <w:rsid w:val="007439B4"/>
    <w:rsid w:val="00752ADA"/>
    <w:rsid w:val="00762ADF"/>
    <w:rsid w:val="007752B5"/>
    <w:rsid w:val="00776DA8"/>
    <w:rsid w:val="00786641"/>
    <w:rsid w:val="007A69D0"/>
    <w:rsid w:val="007B0710"/>
    <w:rsid w:val="007C37F8"/>
    <w:rsid w:val="007C79EB"/>
    <w:rsid w:val="007D1510"/>
    <w:rsid w:val="007E03C5"/>
    <w:rsid w:val="007E5259"/>
    <w:rsid w:val="007E7FDD"/>
    <w:rsid w:val="008016C7"/>
    <w:rsid w:val="0080324C"/>
    <w:rsid w:val="00804866"/>
    <w:rsid w:val="00805680"/>
    <w:rsid w:val="008056D3"/>
    <w:rsid w:val="00825648"/>
    <w:rsid w:val="00826161"/>
    <w:rsid w:val="00826488"/>
    <w:rsid w:val="0083618B"/>
    <w:rsid w:val="008461CE"/>
    <w:rsid w:val="0085713B"/>
    <w:rsid w:val="0086154F"/>
    <w:rsid w:val="00865494"/>
    <w:rsid w:val="00873862"/>
    <w:rsid w:val="00881601"/>
    <w:rsid w:val="00884866"/>
    <w:rsid w:val="00886E3D"/>
    <w:rsid w:val="008912E2"/>
    <w:rsid w:val="008A713A"/>
    <w:rsid w:val="008B1A1B"/>
    <w:rsid w:val="008C539A"/>
    <w:rsid w:val="008D1704"/>
    <w:rsid w:val="008F0164"/>
    <w:rsid w:val="008F68AA"/>
    <w:rsid w:val="00902568"/>
    <w:rsid w:val="00912564"/>
    <w:rsid w:val="00912DCD"/>
    <w:rsid w:val="009202C9"/>
    <w:rsid w:val="00924E92"/>
    <w:rsid w:val="00931001"/>
    <w:rsid w:val="009331E9"/>
    <w:rsid w:val="00953A3B"/>
    <w:rsid w:val="00966870"/>
    <w:rsid w:val="00983598"/>
    <w:rsid w:val="0098482B"/>
    <w:rsid w:val="00993B60"/>
    <w:rsid w:val="00996F7E"/>
    <w:rsid w:val="009A079C"/>
    <w:rsid w:val="009A225E"/>
    <w:rsid w:val="009A608C"/>
    <w:rsid w:val="009A74B1"/>
    <w:rsid w:val="009A7571"/>
    <w:rsid w:val="009A7F68"/>
    <w:rsid w:val="009B3462"/>
    <w:rsid w:val="009B50D4"/>
    <w:rsid w:val="009D2346"/>
    <w:rsid w:val="009D7C4D"/>
    <w:rsid w:val="009E324B"/>
    <w:rsid w:val="009E76D3"/>
    <w:rsid w:val="00A033EE"/>
    <w:rsid w:val="00A30225"/>
    <w:rsid w:val="00A35508"/>
    <w:rsid w:val="00A5330D"/>
    <w:rsid w:val="00A54961"/>
    <w:rsid w:val="00A65D68"/>
    <w:rsid w:val="00A708C5"/>
    <w:rsid w:val="00A80DB8"/>
    <w:rsid w:val="00A84B87"/>
    <w:rsid w:val="00A87015"/>
    <w:rsid w:val="00AA1774"/>
    <w:rsid w:val="00AA2F14"/>
    <w:rsid w:val="00AB1C7E"/>
    <w:rsid w:val="00AB6CD3"/>
    <w:rsid w:val="00AC3D49"/>
    <w:rsid w:val="00AC63DC"/>
    <w:rsid w:val="00AD3A5E"/>
    <w:rsid w:val="00AD4808"/>
    <w:rsid w:val="00AE2F3E"/>
    <w:rsid w:val="00AF4553"/>
    <w:rsid w:val="00B048FE"/>
    <w:rsid w:val="00B04933"/>
    <w:rsid w:val="00B06B29"/>
    <w:rsid w:val="00B0775C"/>
    <w:rsid w:val="00B114C5"/>
    <w:rsid w:val="00B22B7F"/>
    <w:rsid w:val="00B274B4"/>
    <w:rsid w:val="00B32897"/>
    <w:rsid w:val="00B37272"/>
    <w:rsid w:val="00B4005F"/>
    <w:rsid w:val="00B41736"/>
    <w:rsid w:val="00B4212B"/>
    <w:rsid w:val="00B425C1"/>
    <w:rsid w:val="00B474A4"/>
    <w:rsid w:val="00B637B4"/>
    <w:rsid w:val="00B65960"/>
    <w:rsid w:val="00B65F21"/>
    <w:rsid w:val="00B807FB"/>
    <w:rsid w:val="00B83E18"/>
    <w:rsid w:val="00B869D2"/>
    <w:rsid w:val="00B97EFD"/>
    <w:rsid w:val="00BA0D34"/>
    <w:rsid w:val="00BA2B9D"/>
    <w:rsid w:val="00BB5EB3"/>
    <w:rsid w:val="00BC07B8"/>
    <w:rsid w:val="00BC0BAF"/>
    <w:rsid w:val="00BC4D31"/>
    <w:rsid w:val="00C05E26"/>
    <w:rsid w:val="00C1038C"/>
    <w:rsid w:val="00C30297"/>
    <w:rsid w:val="00C308BE"/>
    <w:rsid w:val="00C327EA"/>
    <w:rsid w:val="00C32B48"/>
    <w:rsid w:val="00C3636C"/>
    <w:rsid w:val="00C4013A"/>
    <w:rsid w:val="00C543BC"/>
    <w:rsid w:val="00C5461E"/>
    <w:rsid w:val="00C56615"/>
    <w:rsid w:val="00C60142"/>
    <w:rsid w:val="00C63EF4"/>
    <w:rsid w:val="00C71AC3"/>
    <w:rsid w:val="00C72952"/>
    <w:rsid w:val="00C73624"/>
    <w:rsid w:val="00C82B43"/>
    <w:rsid w:val="00C94585"/>
    <w:rsid w:val="00C9691D"/>
    <w:rsid w:val="00C96B62"/>
    <w:rsid w:val="00CA2360"/>
    <w:rsid w:val="00CA5E42"/>
    <w:rsid w:val="00CA653C"/>
    <w:rsid w:val="00CB266E"/>
    <w:rsid w:val="00CB5EA8"/>
    <w:rsid w:val="00CC0065"/>
    <w:rsid w:val="00CC1927"/>
    <w:rsid w:val="00CD1317"/>
    <w:rsid w:val="00CD3C14"/>
    <w:rsid w:val="00CF768C"/>
    <w:rsid w:val="00D0289C"/>
    <w:rsid w:val="00D02D8A"/>
    <w:rsid w:val="00D05121"/>
    <w:rsid w:val="00D163D8"/>
    <w:rsid w:val="00D223AF"/>
    <w:rsid w:val="00D36C44"/>
    <w:rsid w:val="00D4142D"/>
    <w:rsid w:val="00D66ADF"/>
    <w:rsid w:val="00D873FC"/>
    <w:rsid w:val="00D956D0"/>
    <w:rsid w:val="00D95C2B"/>
    <w:rsid w:val="00DA5401"/>
    <w:rsid w:val="00DA7401"/>
    <w:rsid w:val="00DB65F4"/>
    <w:rsid w:val="00E03737"/>
    <w:rsid w:val="00E075F7"/>
    <w:rsid w:val="00E11338"/>
    <w:rsid w:val="00E27C52"/>
    <w:rsid w:val="00E45EE8"/>
    <w:rsid w:val="00E47796"/>
    <w:rsid w:val="00E669F5"/>
    <w:rsid w:val="00E7210E"/>
    <w:rsid w:val="00E773BC"/>
    <w:rsid w:val="00E82918"/>
    <w:rsid w:val="00E851D9"/>
    <w:rsid w:val="00EA0D33"/>
    <w:rsid w:val="00EA5F2F"/>
    <w:rsid w:val="00EA6002"/>
    <w:rsid w:val="00EB19F4"/>
    <w:rsid w:val="00EB2C47"/>
    <w:rsid w:val="00EC00EA"/>
    <w:rsid w:val="00EC1A07"/>
    <w:rsid w:val="00EC7C60"/>
    <w:rsid w:val="00ED199F"/>
    <w:rsid w:val="00EE1895"/>
    <w:rsid w:val="00EE64E4"/>
    <w:rsid w:val="00EF7287"/>
    <w:rsid w:val="00F121DF"/>
    <w:rsid w:val="00F1755D"/>
    <w:rsid w:val="00F3615F"/>
    <w:rsid w:val="00F36956"/>
    <w:rsid w:val="00F4102E"/>
    <w:rsid w:val="00F56BDA"/>
    <w:rsid w:val="00F57998"/>
    <w:rsid w:val="00F60B06"/>
    <w:rsid w:val="00F91EE8"/>
    <w:rsid w:val="00F96372"/>
    <w:rsid w:val="00F9774E"/>
    <w:rsid w:val="00FB1D21"/>
    <w:rsid w:val="00FD0E7C"/>
    <w:rsid w:val="00FE097C"/>
    <w:rsid w:val="00FE2F73"/>
    <w:rsid w:val="00FF1B4C"/>
    <w:rsid w:val="00FF29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C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401"/>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A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DA7401"/>
    <w:pPr>
      <w:ind w:left="720"/>
    </w:pPr>
  </w:style>
  <w:style w:type="paragraph" w:styleId="Intestazione">
    <w:name w:val="header"/>
    <w:basedOn w:val="Normale"/>
    <w:link w:val="IntestazioneCarattere"/>
    <w:uiPriority w:val="99"/>
    <w:rsid w:val="00E7210E"/>
    <w:pPr>
      <w:tabs>
        <w:tab w:val="center" w:pos="4320"/>
        <w:tab w:val="right" w:pos="8640"/>
      </w:tabs>
    </w:pPr>
  </w:style>
  <w:style w:type="character" w:customStyle="1" w:styleId="IntestazioneCarattere">
    <w:name w:val="Intestazione Carattere"/>
    <w:basedOn w:val="Carpredefinitoparagrafo"/>
    <w:link w:val="Intestazione"/>
    <w:uiPriority w:val="99"/>
    <w:rsid w:val="00E7210E"/>
    <w:rPr>
      <w:rFonts w:ascii="Times New Roman" w:eastAsia="Times New Roman" w:hAnsi="Times New Roman" w:cs="Times New Roman"/>
      <w:sz w:val="24"/>
      <w:szCs w:val="24"/>
    </w:rPr>
  </w:style>
  <w:style w:type="paragraph" w:styleId="Paragrafoelenco">
    <w:name w:val="List Paragraph"/>
    <w:basedOn w:val="Normale"/>
    <w:uiPriority w:val="99"/>
    <w:qFormat/>
    <w:rsid w:val="00526822"/>
    <w:pPr>
      <w:ind w:left="720"/>
    </w:pPr>
  </w:style>
  <w:style w:type="character" w:styleId="Enfasigrassetto">
    <w:name w:val="Strong"/>
    <w:basedOn w:val="Carpredefinitoparagrafo"/>
    <w:uiPriority w:val="22"/>
    <w:qFormat/>
    <w:rsid w:val="00E47796"/>
    <w:rPr>
      <w:b/>
      <w:bCs/>
    </w:rPr>
  </w:style>
  <w:style w:type="paragraph" w:styleId="Pidipagina">
    <w:name w:val="footer"/>
    <w:basedOn w:val="Normale"/>
    <w:link w:val="PidipaginaCarattere"/>
    <w:uiPriority w:val="99"/>
    <w:unhideWhenUsed/>
    <w:rsid w:val="0054413A"/>
    <w:pPr>
      <w:tabs>
        <w:tab w:val="center" w:pos="4819"/>
        <w:tab w:val="right" w:pos="9638"/>
      </w:tabs>
    </w:pPr>
  </w:style>
  <w:style w:type="character" w:customStyle="1" w:styleId="PidipaginaCarattere">
    <w:name w:val="Piè di pagina Carattere"/>
    <w:basedOn w:val="Carpredefinitoparagrafo"/>
    <w:link w:val="Pidipagina"/>
    <w:uiPriority w:val="99"/>
    <w:rsid w:val="0054413A"/>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5441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413A"/>
    <w:rPr>
      <w:rFonts w:ascii="Tahoma" w:eastAsia="Times New Roman" w:hAnsi="Tahoma" w:cs="Tahoma"/>
      <w:sz w:val="16"/>
      <w:szCs w:val="16"/>
    </w:rPr>
  </w:style>
  <w:style w:type="paragraph" w:styleId="Revisione">
    <w:name w:val="Revision"/>
    <w:hidden/>
    <w:uiPriority w:val="99"/>
    <w:semiHidden/>
    <w:rsid w:val="00865494"/>
    <w:pPr>
      <w:spacing w:after="0" w:line="240" w:lineRule="auto"/>
    </w:pPr>
    <w:rPr>
      <w:rFonts w:ascii="Times New Roman" w:eastAsia="Times New Roman" w:hAnsi="Times New Roman" w:cs="Times New Roman"/>
      <w:sz w:val="24"/>
      <w:szCs w:val="24"/>
    </w:rPr>
  </w:style>
  <w:style w:type="paragraph" w:styleId="NormaleWeb">
    <w:name w:val="Normal (Web)"/>
    <w:basedOn w:val="Normale"/>
    <w:uiPriority w:val="99"/>
    <w:semiHidden/>
    <w:unhideWhenUsed/>
    <w:rsid w:val="00C63EF4"/>
    <w:pPr>
      <w:spacing w:before="100" w:beforeAutospacing="1" w:after="100" w:afterAutospacing="1"/>
    </w:pPr>
    <w:rPr>
      <w:lang w:eastAsia="it-IT"/>
    </w:rPr>
  </w:style>
  <w:style w:type="character" w:styleId="Collegamentoipertestuale">
    <w:name w:val="Hyperlink"/>
    <w:basedOn w:val="Carpredefinitoparagrafo"/>
    <w:uiPriority w:val="99"/>
    <w:semiHidden/>
    <w:unhideWhenUsed/>
    <w:rsid w:val="00EE64E4"/>
    <w:rPr>
      <w:color w:val="0000FF"/>
      <w:u w:val="single"/>
    </w:rPr>
  </w:style>
  <w:style w:type="paragraph" w:styleId="Testonotaapidipagina">
    <w:name w:val="footnote text"/>
    <w:basedOn w:val="Normale"/>
    <w:link w:val="TestonotaapidipaginaCarattere"/>
    <w:uiPriority w:val="99"/>
    <w:unhideWhenUsed/>
    <w:rsid w:val="001E05AD"/>
    <w:rPr>
      <w:sz w:val="20"/>
      <w:szCs w:val="20"/>
    </w:rPr>
  </w:style>
  <w:style w:type="character" w:customStyle="1" w:styleId="TestonotaapidipaginaCarattere">
    <w:name w:val="Testo nota a piè di pagina Carattere"/>
    <w:basedOn w:val="Carpredefinitoparagrafo"/>
    <w:link w:val="Testonotaapidipagina"/>
    <w:uiPriority w:val="99"/>
    <w:rsid w:val="001E05AD"/>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1E05AD"/>
    <w:rPr>
      <w:vertAlign w:val="superscript"/>
    </w:rPr>
  </w:style>
  <w:style w:type="paragraph" w:styleId="Testonotadichiusura">
    <w:name w:val="endnote text"/>
    <w:basedOn w:val="Normale"/>
    <w:link w:val="TestonotadichiusuraCarattere"/>
    <w:uiPriority w:val="99"/>
    <w:semiHidden/>
    <w:unhideWhenUsed/>
    <w:rsid w:val="00EC00EA"/>
    <w:rPr>
      <w:sz w:val="20"/>
      <w:szCs w:val="20"/>
    </w:rPr>
  </w:style>
  <w:style w:type="character" w:customStyle="1" w:styleId="TestonotadichiusuraCarattere">
    <w:name w:val="Testo nota di chiusura Carattere"/>
    <w:basedOn w:val="Carpredefinitoparagrafo"/>
    <w:link w:val="Testonotadichiusura"/>
    <w:uiPriority w:val="99"/>
    <w:semiHidden/>
    <w:rsid w:val="00EC00EA"/>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EC00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2413">
      <w:bodyDiv w:val="1"/>
      <w:marLeft w:val="0"/>
      <w:marRight w:val="0"/>
      <w:marTop w:val="0"/>
      <w:marBottom w:val="0"/>
      <w:divBdr>
        <w:top w:val="none" w:sz="0" w:space="0" w:color="auto"/>
        <w:left w:val="none" w:sz="0" w:space="0" w:color="auto"/>
        <w:bottom w:val="none" w:sz="0" w:space="0" w:color="auto"/>
        <w:right w:val="none" w:sz="0" w:space="0" w:color="auto"/>
      </w:divBdr>
      <w:divsChild>
        <w:div w:id="1136993599">
          <w:marLeft w:val="0"/>
          <w:marRight w:val="0"/>
          <w:marTop w:val="0"/>
          <w:marBottom w:val="0"/>
          <w:divBdr>
            <w:top w:val="none" w:sz="0" w:space="0" w:color="auto"/>
            <w:left w:val="none" w:sz="0" w:space="0" w:color="auto"/>
            <w:bottom w:val="none" w:sz="0" w:space="0" w:color="auto"/>
            <w:right w:val="none" w:sz="0" w:space="0" w:color="auto"/>
          </w:divBdr>
          <w:divsChild>
            <w:div w:id="190194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3992">
      <w:bodyDiv w:val="1"/>
      <w:marLeft w:val="0"/>
      <w:marRight w:val="0"/>
      <w:marTop w:val="0"/>
      <w:marBottom w:val="0"/>
      <w:divBdr>
        <w:top w:val="none" w:sz="0" w:space="0" w:color="auto"/>
        <w:left w:val="none" w:sz="0" w:space="0" w:color="auto"/>
        <w:bottom w:val="none" w:sz="0" w:space="0" w:color="auto"/>
        <w:right w:val="none" w:sz="0" w:space="0" w:color="auto"/>
      </w:divBdr>
      <w:divsChild>
        <w:div w:id="365641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3234194">
      <w:bodyDiv w:val="1"/>
      <w:marLeft w:val="0"/>
      <w:marRight w:val="0"/>
      <w:marTop w:val="0"/>
      <w:marBottom w:val="0"/>
      <w:divBdr>
        <w:top w:val="none" w:sz="0" w:space="0" w:color="auto"/>
        <w:left w:val="none" w:sz="0" w:space="0" w:color="auto"/>
        <w:bottom w:val="none" w:sz="0" w:space="0" w:color="auto"/>
        <w:right w:val="none" w:sz="0" w:space="0" w:color="auto"/>
      </w:divBdr>
    </w:div>
    <w:div w:id="424108013">
      <w:bodyDiv w:val="1"/>
      <w:marLeft w:val="0"/>
      <w:marRight w:val="0"/>
      <w:marTop w:val="0"/>
      <w:marBottom w:val="0"/>
      <w:divBdr>
        <w:top w:val="none" w:sz="0" w:space="0" w:color="auto"/>
        <w:left w:val="none" w:sz="0" w:space="0" w:color="auto"/>
        <w:bottom w:val="none" w:sz="0" w:space="0" w:color="auto"/>
        <w:right w:val="none" w:sz="0" w:space="0" w:color="auto"/>
      </w:divBdr>
    </w:div>
    <w:div w:id="545144283">
      <w:bodyDiv w:val="1"/>
      <w:marLeft w:val="0"/>
      <w:marRight w:val="0"/>
      <w:marTop w:val="0"/>
      <w:marBottom w:val="0"/>
      <w:divBdr>
        <w:top w:val="none" w:sz="0" w:space="0" w:color="auto"/>
        <w:left w:val="none" w:sz="0" w:space="0" w:color="auto"/>
        <w:bottom w:val="none" w:sz="0" w:space="0" w:color="auto"/>
        <w:right w:val="none" w:sz="0" w:space="0" w:color="auto"/>
      </w:divBdr>
    </w:div>
    <w:div w:id="559362145">
      <w:bodyDiv w:val="1"/>
      <w:marLeft w:val="0"/>
      <w:marRight w:val="0"/>
      <w:marTop w:val="0"/>
      <w:marBottom w:val="0"/>
      <w:divBdr>
        <w:top w:val="none" w:sz="0" w:space="0" w:color="auto"/>
        <w:left w:val="none" w:sz="0" w:space="0" w:color="auto"/>
        <w:bottom w:val="none" w:sz="0" w:space="0" w:color="auto"/>
        <w:right w:val="none" w:sz="0" w:space="0" w:color="auto"/>
      </w:divBdr>
      <w:divsChild>
        <w:div w:id="1323657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9549947">
      <w:bodyDiv w:val="1"/>
      <w:marLeft w:val="0"/>
      <w:marRight w:val="0"/>
      <w:marTop w:val="0"/>
      <w:marBottom w:val="0"/>
      <w:divBdr>
        <w:top w:val="none" w:sz="0" w:space="0" w:color="auto"/>
        <w:left w:val="none" w:sz="0" w:space="0" w:color="auto"/>
        <w:bottom w:val="none" w:sz="0" w:space="0" w:color="auto"/>
        <w:right w:val="none" w:sz="0" w:space="0" w:color="auto"/>
      </w:divBdr>
      <w:divsChild>
        <w:div w:id="1108086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5431815">
      <w:bodyDiv w:val="1"/>
      <w:marLeft w:val="0"/>
      <w:marRight w:val="0"/>
      <w:marTop w:val="0"/>
      <w:marBottom w:val="0"/>
      <w:divBdr>
        <w:top w:val="none" w:sz="0" w:space="0" w:color="auto"/>
        <w:left w:val="none" w:sz="0" w:space="0" w:color="auto"/>
        <w:bottom w:val="none" w:sz="0" w:space="0" w:color="auto"/>
        <w:right w:val="none" w:sz="0" w:space="0" w:color="auto"/>
      </w:divBdr>
    </w:div>
    <w:div w:id="1036782233">
      <w:bodyDiv w:val="1"/>
      <w:marLeft w:val="0"/>
      <w:marRight w:val="0"/>
      <w:marTop w:val="0"/>
      <w:marBottom w:val="0"/>
      <w:divBdr>
        <w:top w:val="none" w:sz="0" w:space="0" w:color="auto"/>
        <w:left w:val="none" w:sz="0" w:space="0" w:color="auto"/>
        <w:bottom w:val="none" w:sz="0" w:space="0" w:color="auto"/>
        <w:right w:val="none" w:sz="0" w:space="0" w:color="auto"/>
      </w:divBdr>
      <w:divsChild>
        <w:div w:id="1606616906">
          <w:marLeft w:val="0"/>
          <w:marRight w:val="0"/>
          <w:marTop w:val="0"/>
          <w:marBottom w:val="0"/>
          <w:divBdr>
            <w:top w:val="none" w:sz="0" w:space="0" w:color="auto"/>
            <w:left w:val="none" w:sz="0" w:space="0" w:color="auto"/>
            <w:bottom w:val="none" w:sz="0" w:space="0" w:color="auto"/>
            <w:right w:val="none" w:sz="0" w:space="0" w:color="auto"/>
          </w:divBdr>
          <w:divsChild>
            <w:div w:id="4313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132163">
      <w:bodyDiv w:val="1"/>
      <w:marLeft w:val="0"/>
      <w:marRight w:val="0"/>
      <w:marTop w:val="0"/>
      <w:marBottom w:val="0"/>
      <w:divBdr>
        <w:top w:val="none" w:sz="0" w:space="0" w:color="auto"/>
        <w:left w:val="none" w:sz="0" w:space="0" w:color="auto"/>
        <w:bottom w:val="none" w:sz="0" w:space="0" w:color="auto"/>
        <w:right w:val="none" w:sz="0" w:space="0" w:color="auto"/>
      </w:divBdr>
    </w:div>
    <w:div w:id="1219392527">
      <w:bodyDiv w:val="1"/>
      <w:marLeft w:val="0"/>
      <w:marRight w:val="0"/>
      <w:marTop w:val="0"/>
      <w:marBottom w:val="0"/>
      <w:divBdr>
        <w:top w:val="none" w:sz="0" w:space="0" w:color="auto"/>
        <w:left w:val="none" w:sz="0" w:space="0" w:color="auto"/>
        <w:bottom w:val="none" w:sz="0" w:space="0" w:color="auto"/>
        <w:right w:val="none" w:sz="0" w:space="0" w:color="auto"/>
      </w:divBdr>
      <w:divsChild>
        <w:div w:id="1257131205">
          <w:marLeft w:val="0"/>
          <w:marRight w:val="0"/>
          <w:marTop w:val="0"/>
          <w:marBottom w:val="0"/>
          <w:divBdr>
            <w:top w:val="none" w:sz="0" w:space="0" w:color="auto"/>
            <w:left w:val="none" w:sz="0" w:space="0" w:color="auto"/>
            <w:bottom w:val="none" w:sz="0" w:space="0" w:color="auto"/>
            <w:right w:val="none" w:sz="0" w:space="0" w:color="auto"/>
          </w:divBdr>
          <w:divsChild>
            <w:div w:id="749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2696">
      <w:bodyDiv w:val="1"/>
      <w:marLeft w:val="0"/>
      <w:marRight w:val="0"/>
      <w:marTop w:val="0"/>
      <w:marBottom w:val="0"/>
      <w:divBdr>
        <w:top w:val="none" w:sz="0" w:space="0" w:color="auto"/>
        <w:left w:val="none" w:sz="0" w:space="0" w:color="auto"/>
        <w:bottom w:val="none" w:sz="0" w:space="0" w:color="auto"/>
        <w:right w:val="none" w:sz="0" w:space="0" w:color="auto"/>
      </w:divBdr>
      <w:divsChild>
        <w:div w:id="1401442699">
          <w:marLeft w:val="0"/>
          <w:marRight w:val="0"/>
          <w:marTop w:val="0"/>
          <w:marBottom w:val="0"/>
          <w:divBdr>
            <w:top w:val="none" w:sz="0" w:space="0" w:color="auto"/>
            <w:left w:val="none" w:sz="0" w:space="0" w:color="auto"/>
            <w:bottom w:val="none" w:sz="0" w:space="0" w:color="auto"/>
            <w:right w:val="none" w:sz="0" w:space="0" w:color="auto"/>
          </w:divBdr>
          <w:divsChild>
            <w:div w:id="18774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614545">
      <w:bodyDiv w:val="1"/>
      <w:marLeft w:val="0"/>
      <w:marRight w:val="0"/>
      <w:marTop w:val="0"/>
      <w:marBottom w:val="0"/>
      <w:divBdr>
        <w:top w:val="none" w:sz="0" w:space="0" w:color="auto"/>
        <w:left w:val="none" w:sz="0" w:space="0" w:color="auto"/>
        <w:bottom w:val="none" w:sz="0" w:space="0" w:color="auto"/>
        <w:right w:val="none" w:sz="0" w:space="0" w:color="auto"/>
      </w:divBdr>
    </w:div>
    <w:div w:id="1835873583">
      <w:bodyDiv w:val="1"/>
      <w:marLeft w:val="0"/>
      <w:marRight w:val="0"/>
      <w:marTop w:val="0"/>
      <w:marBottom w:val="0"/>
      <w:divBdr>
        <w:top w:val="none" w:sz="0" w:space="0" w:color="auto"/>
        <w:left w:val="none" w:sz="0" w:space="0" w:color="auto"/>
        <w:bottom w:val="none" w:sz="0" w:space="0" w:color="auto"/>
        <w:right w:val="none" w:sz="0" w:space="0" w:color="auto"/>
      </w:divBdr>
    </w:div>
    <w:div w:id="19138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osettiegatti.eu/info/norme/statali/2005_0082.ht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6_0050.htm"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bosettiegatti.eu/info/norme/statali/2016_0050_allegato_VIII.pdf" TargetMode="External"/><Relationship Id="rId2" Type="http://schemas.openxmlformats.org/officeDocument/2006/relationships/hyperlink" Target="https://www.bosettiegatti.eu/info/norme/statali/2016_0050_allegato_VIII.pdf" TargetMode="External"/><Relationship Id="rId1" Type="http://schemas.openxmlformats.org/officeDocument/2006/relationships/hyperlink" Target="https://www.bosettiegatti.eu/info/norme/statali/2016_0050.htm" TargetMode="External"/><Relationship Id="rId4" Type="http://schemas.openxmlformats.org/officeDocument/2006/relationships/hyperlink" Target="https://www.bosettiegatti.eu/info/norme/statali/2016_0050_allegato_IX.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400942-62AF-4499-B600-06B7D5BC0BA6}">
  <ds:schemaRefs>
    <ds:schemaRef ds:uri="http://schemas.microsoft.com/sharepoint/v3/contenttype/forms"/>
  </ds:schemaRefs>
</ds:datastoreItem>
</file>

<file path=customXml/itemProps2.xml><?xml version="1.0" encoding="utf-8"?>
<ds:datastoreItem xmlns:ds="http://schemas.openxmlformats.org/officeDocument/2006/customXml" ds:itemID="{8B57C00F-B0A9-48D5-8519-1A011279BA9F}">
  <ds:schemaRefs>
    <ds:schemaRef ds:uri="http://schemas.openxmlformats.org/officeDocument/2006/bibliography"/>
  </ds:schemaRefs>
</ds:datastoreItem>
</file>

<file path=customXml/itemProps3.xml><?xml version="1.0" encoding="utf-8"?>
<ds:datastoreItem xmlns:ds="http://schemas.openxmlformats.org/officeDocument/2006/customXml" ds:itemID="{C2780909-F168-4693-AB34-171BA8E4A2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E00E7A-D06D-4EAF-B741-60436CE4C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83812</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19</Pages>
  <Words>2674</Words>
  <Characters>15243</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2020-02-10T10:27:00Z</dcterms:created>
  <dcterms:modified xsi:type="dcterms:W3CDTF">2023-07-18T10:32:00Z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